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8071B">
      <w:pPr>
        <w:adjustRightInd w:val="0"/>
        <w:snapToGrid w:val="0"/>
        <w:ind w:left="480" w:firstLine="0" w:firstLineChars="0"/>
        <w:rPr>
          <w:lang w:eastAsia="zh-CN"/>
        </w:rPr>
      </w:pPr>
      <w:bookmarkStart w:id="0" w:name="_Hlk515176001"/>
    </w:p>
    <w:p w14:paraId="4F0E3A81">
      <w:pPr>
        <w:adjustRightInd w:val="0"/>
        <w:snapToGrid w:val="0"/>
        <w:ind w:left="480" w:firstLine="0" w:firstLineChars="0"/>
        <w:rPr>
          <w:lang w:eastAsia="zh-CN"/>
        </w:rPr>
      </w:pPr>
    </w:p>
    <w:p w14:paraId="1A251ABA">
      <w:pPr>
        <w:adjustRightInd w:val="0"/>
        <w:snapToGrid w:val="0"/>
        <w:ind w:left="480" w:firstLine="0" w:firstLineChars="0"/>
        <w:rPr>
          <w:lang w:eastAsia="zh-CN"/>
        </w:rPr>
      </w:pPr>
    </w:p>
    <w:p w14:paraId="7484A3B5">
      <w:pPr>
        <w:adjustRightInd w:val="0"/>
        <w:snapToGrid w:val="0"/>
        <w:ind w:left="480" w:firstLine="0" w:firstLineChars="0"/>
        <w:rPr>
          <w:lang w:eastAsia="zh-CN"/>
        </w:rPr>
      </w:pPr>
    </w:p>
    <w:p w14:paraId="21B9FCCE">
      <w:pPr>
        <w:adjustRightInd w:val="0"/>
        <w:snapToGrid w:val="0"/>
        <w:ind w:left="480" w:firstLine="0" w:firstLineChars="0"/>
        <w:rPr>
          <w:lang w:eastAsia="zh-CN"/>
        </w:rPr>
      </w:pPr>
    </w:p>
    <w:p w14:paraId="6BE9DF32">
      <w:pPr>
        <w:adjustRightInd w:val="0"/>
        <w:snapToGrid w:val="0"/>
        <w:ind w:left="480" w:firstLine="0" w:firstLineChars="0"/>
        <w:rPr>
          <w:lang w:eastAsia="zh-CN"/>
        </w:rPr>
      </w:pPr>
    </w:p>
    <w:p w14:paraId="0A344626">
      <w:pPr>
        <w:adjustRightInd w:val="0"/>
        <w:snapToGrid w:val="0"/>
        <w:ind w:left="480" w:firstLine="0" w:firstLineChars="0"/>
        <w:rPr>
          <w:lang w:eastAsia="zh-CN"/>
        </w:rPr>
      </w:pPr>
    </w:p>
    <w:p w14:paraId="7E95D633">
      <w:pPr>
        <w:shd w:val="clear" w:color="auto" w:fill="FFFFFF"/>
        <w:tabs>
          <w:tab w:val="left" w:pos="0"/>
        </w:tabs>
        <w:adjustRightInd w:val="0"/>
        <w:snapToGrid w:val="0"/>
        <w:spacing w:line="360" w:lineRule="auto"/>
        <w:ind w:firstLine="0" w:firstLineChars="0"/>
        <w:jc w:val="center"/>
        <w:rPr>
          <w:rFonts w:hint="eastAsia" w:eastAsia="黑体"/>
          <w:b/>
          <w:color w:val="000000"/>
          <w:sz w:val="48"/>
          <w:szCs w:val="48"/>
          <w:lang w:eastAsia="zh-CN"/>
        </w:rPr>
      </w:pPr>
      <w:r>
        <w:rPr>
          <w:rFonts w:hint="eastAsia" w:eastAsia="黑体"/>
          <w:b/>
          <w:color w:val="000000"/>
          <w:sz w:val="48"/>
          <w:szCs w:val="48"/>
          <w:lang w:eastAsia="zh-CN"/>
        </w:rPr>
        <w:t>湖库水生态修复技术指南 第2部分：水质改善（试行）编制说明</w:t>
      </w:r>
    </w:p>
    <w:p w14:paraId="68B5288C">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AAD8B06">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7CABA853">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1ABCDA0B">
      <w:pPr>
        <w:shd w:val="clear" w:color="auto" w:fill="FFFFFF"/>
        <w:tabs>
          <w:tab w:val="left" w:pos="540"/>
        </w:tabs>
        <w:adjustRightInd w:val="0"/>
        <w:snapToGrid w:val="0"/>
        <w:spacing w:line="420" w:lineRule="exact"/>
        <w:ind w:left="0" w:leftChars="0" w:right="-20" w:firstLine="0" w:firstLineChars="0"/>
        <w:rPr>
          <w:color w:val="000000"/>
          <w:w w:val="99"/>
          <w:position w:val="-1"/>
          <w:sz w:val="28"/>
          <w:szCs w:val="28"/>
          <w:lang w:eastAsia="zh-CN"/>
        </w:rPr>
      </w:pPr>
    </w:p>
    <w:p w14:paraId="0E6AE4CD">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2E63BCFA">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4DD7A5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F99F1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3CBAB2EE">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9F2F14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0F965DB">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4824DCF">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4D941888">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51F5BAB9">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029DE9B3">
      <w:pPr>
        <w:shd w:val="clear" w:color="auto" w:fill="FFFFFF"/>
        <w:tabs>
          <w:tab w:val="left" w:pos="540"/>
        </w:tabs>
        <w:adjustRightInd w:val="0"/>
        <w:snapToGrid w:val="0"/>
        <w:spacing w:line="420" w:lineRule="exact"/>
        <w:ind w:left="118" w:right="-20" w:firstLine="551"/>
        <w:rPr>
          <w:color w:val="000000"/>
          <w:w w:val="99"/>
          <w:position w:val="-1"/>
          <w:sz w:val="28"/>
          <w:szCs w:val="28"/>
          <w:lang w:eastAsia="zh-CN"/>
        </w:rPr>
      </w:pPr>
    </w:p>
    <w:p w14:paraId="7CEB8B33">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1D7B3DA1">
      <w:pPr>
        <w:shd w:val="clear" w:color="auto" w:fill="FFFFFF"/>
        <w:tabs>
          <w:tab w:val="left" w:pos="540"/>
        </w:tabs>
        <w:adjustRightInd w:val="0"/>
        <w:snapToGrid w:val="0"/>
        <w:spacing w:line="420" w:lineRule="exact"/>
        <w:ind w:left="118" w:right="-20" w:firstLine="433"/>
        <w:rPr>
          <w:color w:val="000000"/>
          <w:w w:val="99"/>
          <w:position w:val="-1"/>
          <w:sz w:val="22"/>
          <w:lang w:eastAsia="zh-CN"/>
        </w:rPr>
      </w:pPr>
    </w:p>
    <w:p w14:paraId="269EF30E">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val="en-US" w:eastAsia="zh-CN"/>
        </w:rPr>
        <w:t>指南</w:t>
      </w:r>
      <w:r>
        <w:rPr>
          <w:rFonts w:hint="eastAsia" w:ascii="仿宋_GB2312" w:hAnsi="仿宋_GB2312" w:eastAsia="仿宋_GB2312" w:cs="仿宋_GB2312"/>
          <w:b/>
          <w:bCs w:val="0"/>
          <w:color w:val="000000"/>
          <w:sz w:val="32"/>
          <w:szCs w:val="32"/>
          <w:lang w:eastAsia="zh-CN"/>
        </w:rPr>
        <w:t>编制组</w:t>
      </w:r>
    </w:p>
    <w:p w14:paraId="0CACB69B">
      <w:pPr>
        <w:shd w:val="clear" w:color="auto" w:fill="FFFFFF"/>
        <w:tabs>
          <w:tab w:val="left" w:pos="2962"/>
        </w:tabs>
        <w:adjustRightInd w:val="0"/>
        <w:snapToGrid w:val="0"/>
        <w:spacing w:line="420" w:lineRule="exact"/>
        <w:ind w:right="-20" w:firstLine="0" w:firstLineChars="0"/>
        <w:jc w:val="center"/>
        <w:rPr>
          <w:rFonts w:hint="eastAsia" w:ascii="仿宋_GB2312" w:hAnsi="仿宋_GB2312" w:eastAsia="仿宋_GB2312" w:cs="仿宋_GB2312"/>
          <w:b/>
          <w:bCs w:val="0"/>
          <w:color w:val="000000"/>
          <w:sz w:val="32"/>
          <w:szCs w:val="32"/>
          <w:lang w:eastAsia="zh-CN"/>
        </w:rPr>
      </w:pPr>
      <w:r>
        <w:rPr>
          <w:rFonts w:hint="eastAsia" w:ascii="仿宋_GB2312" w:hAnsi="仿宋_GB2312" w:eastAsia="仿宋_GB2312" w:cs="仿宋_GB2312"/>
          <w:b/>
          <w:bCs w:val="0"/>
          <w:color w:val="000000"/>
          <w:sz w:val="32"/>
          <w:szCs w:val="32"/>
          <w:lang w:eastAsia="zh-CN"/>
        </w:rPr>
        <w:t>202</w:t>
      </w:r>
      <w:r>
        <w:rPr>
          <w:rFonts w:hint="eastAsia" w:ascii="仿宋_GB2312" w:hAnsi="仿宋_GB2312" w:eastAsia="仿宋_GB2312" w:cs="仿宋_GB2312"/>
          <w:b/>
          <w:bCs w:val="0"/>
          <w:color w:val="000000"/>
          <w:sz w:val="32"/>
          <w:szCs w:val="32"/>
          <w:lang w:val="en-US" w:eastAsia="zh-CN"/>
        </w:rPr>
        <w:t>5</w:t>
      </w:r>
      <w:r>
        <w:rPr>
          <w:rFonts w:hint="eastAsia" w:ascii="仿宋_GB2312" w:hAnsi="仿宋_GB2312" w:eastAsia="仿宋_GB2312" w:cs="仿宋_GB2312"/>
          <w:b/>
          <w:bCs w:val="0"/>
          <w:color w:val="000000"/>
          <w:sz w:val="32"/>
          <w:szCs w:val="32"/>
          <w:lang w:eastAsia="zh-CN"/>
        </w:rPr>
        <w:t>年</w:t>
      </w:r>
      <w:r>
        <w:rPr>
          <w:rFonts w:hint="eastAsia" w:ascii="仿宋_GB2312" w:hAnsi="仿宋_GB2312" w:eastAsia="仿宋_GB2312" w:cs="仿宋_GB2312"/>
          <w:b/>
          <w:bCs w:val="0"/>
          <w:color w:val="000000"/>
          <w:sz w:val="32"/>
          <w:szCs w:val="32"/>
          <w:lang w:val="en-US" w:eastAsia="zh-CN"/>
        </w:rPr>
        <w:t>7</w:t>
      </w:r>
      <w:r>
        <w:rPr>
          <w:rFonts w:hint="eastAsia" w:ascii="仿宋_GB2312" w:hAnsi="仿宋_GB2312" w:eastAsia="仿宋_GB2312" w:cs="仿宋_GB2312"/>
          <w:b/>
          <w:bCs w:val="0"/>
          <w:color w:val="000000"/>
          <w:sz w:val="32"/>
          <w:szCs w:val="32"/>
          <w:lang w:eastAsia="zh-CN"/>
        </w:rPr>
        <w:t>月</w:t>
      </w:r>
      <w:bookmarkEnd w:id="0"/>
    </w:p>
    <w:p w14:paraId="08648E39">
      <w:pPr>
        <w:shd w:val="clear" w:color="auto" w:fill="FFFFFF"/>
        <w:tabs>
          <w:tab w:val="left" w:pos="540"/>
        </w:tabs>
        <w:adjustRightInd w:val="0"/>
        <w:snapToGrid w:val="0"/>
        <w:spacing w:line="420" w:lineRule="exact"/>
        <w:ind w:right="-20" w:firstLine="600"/>
        <w:jc w:val="center"/>
        <w:rPr>
          <w:rFonts w:eastAsia="黑体"/>
          <w:bCs/>
          <w:color w:val="000000"/>
          <w:sz w:val="30"/>
          <w:szCs w:val="30"/>
          <w:lang w:eastAsia="zh-CN"/>
        </w:rPr>
      </w:pPr>
    </w:p>
    <w:p w14:paraId="0D7E8835">
      <w:pPr>
        <w:shd w:val="clear" w:color="auto" w:fill="FFFFFF"/>
        <w:tabs>
          <w:tab w:val="left" w:pos="0"/>
        </w:tabs>
        <w:adjustRightInd w:val="0"/>
        <w:snapToGrid w:val="0"/>
        <w:spacing w:line="420" w:lineRule="exact"/>
        <w:ind w:right="-20" w:firstLine="0" w:firstLineChars="0"/>
        <w:rPr>
          <w:color w:val="000000"/>
          <w:w w:val="99"/>
          <w:position w:val="-1"/>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26" w:charSpace="0"/>
        </w:sectPr>
      </w:pPr>
    </w:p>
    <w:p w14:paraId="1E181E82">
      <w:pPr>
        <w:adjustRightInd w:val="0"/>
        <w:snapToGrid w:val="0"/>
        <w:ind w:firstLine="0" w:firstLineChars="0"/>
        <w:jc w:val="center"/>
        <w:rPr>
          <w:rFonts w:eastAsia="黑体"/>
          <w:b/>
          <w:color w:val="000000"/>
          <w:sz w:val="36"/>
          <w:szCs w:val="36"/>
          <w:lang w:eastAsia="zh-CN"/>
        </w:rPr>
      </w:pPr>
      <w:bookmarkStart w:id="1" w:name="_Toc511396440"/>
      <w:bookmarkStart w:id="2" w:name="_Toc516393368"/>
      <w:bookmarkStart w:id="3" w:name="_Toc511507465"/>
      <w:r>
        <w:rPr>
          <w:rFonts w:eastAsia="黑体"/>
          <w:b/>
          <w:color w:val="000000"/>
          <w:sz w:val="36"/>
          <w:szCs w:val="36"/>
          <w:lang w:val="zh-CN" w:eastAsia="zh-CN"/>
        </w:rPr>
        <w:t>目  录</w:t>
      </w:r>
    </w:p>
    <w:p w14:paraId="6879BE3D">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eastAsia" w:asciiTheme="minorEastAsia" w:hAnsiTheme="minorEastAsia" w:eastAsiaTheme="minorEastAsia" w:cstheme="minorEastAsia"/>
          <w:b w:val="0"/>
          <w:bCs w:val="0"/>
          <w:i w:val="0"/>
          <w:iCs w:val="0"/>
          <w:caps w:val="0"/>
          <w:color w:val="000000"/>
          <w:sz w:val="28"/>
          <w:szCs w:val="28"/>
        </w:rPr>
        <w:fldChar w:fldCharType="begin"/>
      </w:r>
      <w:r>
        <w:rPr>
          <w:rFonts w:hint="eastAsia" w:asciiTheme="minorEastAsia" w:hAnsiTheme="minorEastAsia" w:eastAsiaTheme="minorEastAsia" w:cstheme="minorEastAsia"/>
          <w:b w:val="0"/>
          <w:bCs w:val="0"/>
          <w:i w:val="0"/>
          <w:iCs w:val="0"/>
          <w:caps w:val="0"/>
          <w:color w:val="000000"/>
          <w:sz w:val="28"/>
          <w:szCs w:val="28"/>
        </w:rPr>
        <w:instrText xml:space="preserve"> TOC \o "1-3" \h \z \u </w:instrText>
      </w:r>
      <w:r>
        <w:rPr>
          <w:rFonts w:hint="eastAsia" w:asciiTheme="minorEastAsia" w:hAnsiTheme="minorEastAsia" w:eastAsiaTheme="minorEastAsia" w:cstheme="minorEastAsia"/>
          <w:b w:val="0"/>
          <w:bCs w:val="0"/>
          <w:i w:val="0"/>
          <w:iCs w:val="0"/>
          <w:caps w:val="0"/>
          <w:color w:val="000000"/>
          <w:sz w:val="28"/>
          <w:szCs w:val="28"/>
        </w:rPr>
        <w:fldChar w:fldCharType="separate"/>
      </w:r>
      <w:r>
        <w:rPr>
          <w:rFonts w:hint="default" w:ascii="Times New Roman" w:hAnsi="Times New Roman" w:cs="Times New Roman" w:eastAsiaTheme="minorEastAsia"/>
          <w:bCs w:val="0"/>
          <w:i w:val="0"/>
          <w:iCs w:val="0"/>
          <w:caps w:val="0"/>
          <w:color w:val="000000"/>
          <w:sz w:val="28"/>
          <w:szCs w:val="44"/>
        </w:rPr>
        <w:fldChar w:fldCharType="begin"/>
      </w:r>
      <w:r>
        <w:rPr>
          <w:rFonts w:hint="default" w:ascii="Times New Roman" w:hAnsi="Times New Roman" w:cs="Times New Roman" w:eastAsiaTheme="minorEastAsia"/>
          <w:bCs w:val="0"/>
          <w:i w:val="0"/>
          <w:iCs w:val="0"/>
          <w:caps w:val="0"/>
          <w:sz w:val="28"/>
          <w:szCs w:val="44"/>
        </w:rPr>
        <w:instrText xml:space="preserve"> HYPERLINK \l _Toc11677 </w:instrText>
      </w:r>
      <w:r>
        <w:rPr>
          <w:rFonts w:hint="default" w:ascii="Times New Roman" w:hAnsi="Times New Roman" w:cs="Times New Roman" w:eastAsiaTheme="minorEastAsia"/>
          <w:bCs w:val="0"/>
          <w:i w:val="0"/>
          <w:iCs w:val="0"/>
          <w:cap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一、</w:t>
      </w:r>
      <w:r>
        <w:rPr>
          <w:rFonts w:hint="default" w:ascii="Times New Roman" w:hAnsi="Times New Roman" w:cs="Times New Roman" w:eastAsiaTheme="minorEastAsia"/>
          <w:i w:val="0"/>
          <w:iCs w:val="0"/>
          <w:sz w:val="28"/>
          <w:szCs w:val="28"/>
          <w:lang w:eastAsia="zh-CN"/>
        </w:rPr>
        <w:t>出台背景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_Toc11677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bCs w:val="0"/>
          <w:i w:val="0"/>
          <w:iCs w:val="0"/>
          <w:caps w:val="0"/>
          <w:color w:val="000000"/>
          <w:sz w:val="28"/>
          <w:szCs w:val="44"/>
        </w:rPr>
        <w:fldChar w:fldCharType="end"/>
      </w:r>
    </w:p>
    <w:p w14:paraId="0CFF775B">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_Toc24453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二、</w:t>
      </w:r>
      <w:r>
        <w:rPr>
          <w:rFonts w:hint="default" w:ascii="Times New Roman" w:hAnsi="Times New Roman" w:cs="Times New Roman" w:eastAsiaTheme="minorEastAsia"/>
          <w:i w:val="0"/>
          <w:iCs w:val="0"/>
          <w:sz w:val="28"/>
          <w:szCs w:val="28"/>
          <w:lang w:eastAsia="zh-CN"/>
        </w:rPr>
        <w:t>必要性分析</w:t>
      </w:r>
      <w:r>
        <w:rPr>
          <w:rFonts w:hint="default" w:ascii="Times New Roman" w:hAnsi="Times New Roman" w:cs="Times New Roman" w:eastAsiaTheme="minorEastAsia"/>
          <w:i w:val="0"/>
          <w:iCs w:val="0"/>
          <w:sz w:val="28"/>
          <w:szCs w:val="28"/>
          <w:lang w:val="en-US" w:eastAsia="zh-CN"/>
        </w:rPr>
        <w:t>和可行性分析</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_Toc24453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78578F62">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_Toc18743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32"/>
          <w:lang w:val="en-US" w:eastAsia="zh-CN" w:bidi="ar-SA"/>
        </w:rPr>
        <w:t>1.1</w:t>
      </w:r>
      <w:r>
        <w:rPr>
          <w:rFonts w:hint="default" w:ascii="Times New Roman" w:hAnsi="Times New Roman" w:cs="Times New Roman" w:eastAsiaTheme="minorEastAsia"/>
          <w:i w:val="0"/>
          <w:iCs w:val="0"/>
          <w:sz w:val="28"/>
          <w:szCs w:val="28"/>
          <w:lang w:val="en-US" w:eastAsia="zh-CN"/>
        </w:rPr>
        <w:t>必要性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_Toc18743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35EF7CDE">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_Toc12493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32"/>
          <w:lang w:val="en-US" w:eastAsia="zh-CN" w:bidi="ar-SA"/>
        </w:rPr>
        <w:t>1.2</w:t>
      </w:r>
      <w:r>
        <w:rPr>
          <w:rFonts w:hint="default" w:ascii="Times New Roman" w:hAnsi="Times New Roman" w:cs="Times New Roman" w:eastAsiaTheme="minorEastAsia"/>
          <w:i w:val="0"/>
          <w:iCs w:val="0"/>
          <w:sz w:val="28"/>
          <w:szCs w:val="28"/>
          <w:lang w:val="en-US" w:eastAsia="zh-CN"/>
        </w:rPr>
        <w:t>可行性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_Toc12493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10D617CC">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_Toc25401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三、</w:t>
      </w:r>
      <w:r>
        <w:rPr>
          <w:rFonts w:hint="default" w:ascii="Times New Roman" w:hAnsi="Times New Roman" w:cs="Times New Roman" w:eastAsiaTheme="minorEastAsia"/>
          <w:i w:val="0"/>
          <w:iCs w:val="0"/>
          <w:sz w:val="28"/>
          <w:szCs w:val="28"/>
          <w:lang w:eastAsia="zh-CN"/>
        </w:rPr>
        <w:t>标准框架的确定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_Toc25401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4FBB7DA3">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_Toc19169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32"/>
          <w:lang w:val="en-US" w:eastAsia="zh-CN" w:bidi="ar-SA"/>
        </w:rPr>
        <w:t>3.1</w:t>
      </w:r>
      <w:r>
        <w:rPr>
          <w:rFonts w:hint="default" w:ascii="Times New Roman" w:hAnsi="Times New Roman" w:cs="Times New Roman" w:eastAsiaTheme="minorEastAsia"/>
          <w:i w:val="0"/>
          <w:iCs w:val="0"/>
          <w:sz w:val="28"/>
          <w:szCs w:val="28"/>
        </w:rPr>
        <w:t>总体思路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_Toc19169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34409D35">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_Toc10195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rPr>
        <w:t>3.2</w:t>
      </w:r>
      <w:r>
        <w:rPr>
          <w:rFonts w:hint="default" w:ascii="Times New Roman" w:hAnsi="Times New Roman" w:cs="Times New Roman" w:eastAsiaTheme="minorEastAsia"/>
          <w:i w:val="0"/>
          <w:iCs w:val="0"/>
          <w:sz w:val="28"/>
          <w:szCs w:val="44"/>
        </w:rPr>
        <w:t>编制依据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_Toc10195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531C4F30">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_Toc25388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rPr>
        <w:t>3.3</w:t>
      </w:r>
      <w:r>
        <w:rPr>
          <w:rFonts w:hint="default" w:ascii="Times New Roman" w:hAnsi="Times New Roman" w:cs="Times New Roman" w:eastAsiaTheme="minorEastAsia"/>
          <w:i w:val="0"/>
          <w:iCs w:val="0"/>
          <w:sz w:val="28"/>
          <w:szCs w:val="44"/>
        </w:rPr>
        <w:t>编制原则</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_Toc25388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6B89589C">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_Toc20674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四、</w:t>
      </w:r>
      <w:r>
        <w:rPr>
          <w:rFonts w:hint="default" w:ascii="Times New Roman" w:hAnsi="Times New Roman" w:cs="Times New Roman" w:eastAsiaTheme="minorEastAsia"/>
          <w:i w:val="0"/>
          <w:iCs w:val="0"/>
          <w:sz w:val="28"/>
          <w:szCs w:val="28"/>
          <w:lang w:eastAsia="zh-CN"/>
        </w:rPr>
        <w:t>标准编制过程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_Toc20674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22D320AF">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_Toc9870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五、</w:t>
      </w:r>
      <w:r>
        <w:rPr>
          <w:rFonts w:hint="default" w:ascii="Times New Roman" w:hAnsi="Times New Roman" w:cs="Times New Roman" w:eastAsiaTheme="minorEastAsia"/>
          <w:i w:val="0"/>
          <w:iCs w:val="0"/>
          <w:sz w:val="28"/>
          <w:szCs w:val="28"/>
          <w:lang w:eastAsia="zh-CN"/>
        </w:rPr>
        <w:t>主要技术内容</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_Toc9870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5CDF2434">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_Toc4400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rPr>
        <w:t>5.1</w:t>
      </w:r>
      <w:r>
        <w:rPr>
          <w:rFonts w:hint="default" w:ascii="Times New Roman" w:hAnsi="Times New Roman" w:cs="Times New Roman" w:eastAsiaTheme="minorEastAsia"/>
          <w:i w:val="0"/>
          <w:iCs w:val="0"/>
          <w:sz w:val="28"/>
          <w:szCs w:val="40"/>
        </w:rPr>
        <w:t>标准框架结构</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_Toc4400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046B6C1A">
      <w:pPr>
        <w:pStyle w:val="2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_Toc30250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32"/>
          <w:lang w:val="en-US" w:eastAsia="zh-CN" w:bidi="ar-SA"/>
        </w:rPr>
        <w:t>5.2</w:t>
      </w:r>
      <w:r>
        <w:rPr>
          <w:rFonts w:hint="default" w:ascii="Times New Roman" w:hAnsi="Times New Roman" w:cs="Times New Roman" w:eastAsiaTheme="minorEastAsia"/>
          <w:i w:val="0"/>
          <w:iCs w:val="0"/>
          <w:sz w:val="28"/>
          <w:szCs w:val="28"/>
        </w:rPr>
        <w:t>条文说明</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_Toc30250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4A297443">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_Toc24012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5.2.1</w:t>
      </w:r>
      <w:r>
        <w:rPr>
          <w:rFonts w:hint="default" w:ascii="Times New Roman" w:hAnsi="Times New Roman" w:cs="Times New Roman" w:eastAsiaTheme="minorEastAsia"/>
          <w:i w:val="0"/>
          <w:iCs w:val="0"/>
          <w:sz w:val="28"/>
          <w:szCs w:val="28"/>
        </w:rPr>
        <w:t>范围</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_Toc24012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2CD3E04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_Toc5026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5.2.2</w:t>
      </w:r>
      <w:r>
        <w:rPr>
          <w:rFonts w:hint="default" w:ascii="Times New Roman" w:hAnsi="Times New Roman" w:cs="Times New Roman" w:eastAsiaTheme="minorEastAsia"/>
          <w:i w:val="0"/>
          <w:iCs w:val="0"/>
          <w:sz w:val="28"/>
          <w:szCs w:val="28"/>
        </w:rPr>
        <w:t>规范性引用文件</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_Toc5026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6083A1E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_Toc23198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5.2.3</w:t>
      </w:r>
      <w:r>
        <w:rPr>
          <w:rFonts w:hint="default" w:ascii="Times New Roman" w:hAnsi="Times New Roman" w:cs="Times New Roman" w:eastAsiaTheme="minorEastAsia"/>
          <w:i w:val="0"/>
          <w:iCs w:val="0"/>
          <w:sz w:val="28"/>
          <w:szCs w:val="28"/>
        </w:rPr>
        <w:t>术语与定义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_Toc23198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7</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4CC513B9">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_Toc35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5.2.4</w:t>
      </w:r>
      <w:r>
        <w:rPr>
          <w:rFonts w:hint="default" w:ascii="Times New Roman" w:hAnsi="Times New Roman" w:cs="Times New Roman" w:eastAsiaTheme="minorEastAsia"/>
          <w:i w:val="0"/>
          <w:iCs w:val="0"/>
          <w:sz w:val="28"/>
          <w:szCs w:val="28"/>
        </w:rPr>
        <w:t>一般</w:t>
      </w:r>
      <w:r>
        <w:rPr>
          <w:rFonts w:hint="default" w:ascii="Times New Roman" w:hAnsi="Times New Roman" w:cs="Times New Roman" w:eastAsiaTheme="minorEastAsia"/>
          <w:i w:val="0"/>
          <w:iCs w:val="0"/>
          <w:sz w:val="28"/>
          <w:szCs w:val="28"/>
          <w:lang w:val="en-US" w:eastAsia="zh-CN"/>
        </w:rPr>
        <w:t>规定</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658B4794">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_Toc17492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5.2.5</w:t>
      </w:r>
      <w:r>
        <w:rPr>
          <w:rFonts w:hint="default" w:ascii="Times New Roman" w:hAnsi="Times New Roman" w:cs="Times New Roman" w:eastAsiaTheme="minorEastAsia"/>
          <w:i w:val="0"/>
          <w:iCs w:val="0"/>
          <w:sz w:val="28"/>
          <w:szCs w:val="28"/>
          <w:lang w:val="en-US" w:eastAsia="zh-CN"/>
        </w:rPr>
        <w:t>工作流程</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_Toc17492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38259A53">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_Toc11511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5.2.6</w:t>
      </w:r>
      <w:r>
        <w:rPr>
          <w:rFonts w:hint="default" w:ascii="Times New Roman" w:hAnsi="Times New Roman" w:cs="Times New Roman" w:eastAsiaTheme="minorEastAsia"/>
          <w:i w:val="0"/>
          <w:iCs w:val="0"/>
          <w:sz w:val="28"/>
          <w:szCs w:val="28"/>
        </w:rPr>
        <w:t>生物膜</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_Toc11511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8</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6C14ADE1">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_Toc6427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5.2.7曝气增氧</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_Toc6427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10</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746A5278">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_Toc20852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5.2.8人工浮岛</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_Toc20852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10</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4852AA33">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_Toc9552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5.2.9</w:t>
      </w:r>
      <w:r>
        <w:rPr>
          <w:rFonts w:hint="default" w:ascii="Times New Roman" w:hAnsi="Times New Roman" w:cs="Times New Roman" w:eastAsiaTheme="minorEastAsia"/>
          <w:i w:val="0"/>
          <w:iCs w:val="0"/>
          <w:sz w:val="28"/>
          <w:szCs w:val="28"/>
        </w:rPr>
        <w:t>化学絮凝</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_Toc9552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11</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30D9DF92">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_Toc6519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5.2.10</w:t>
      </w:r>
      <w:r>
        <w:rPr>
          <w:rFonts w:hint="default" w:ascii="Times New Roman" w:hAnsi="Times New Roman" w:cs="Times New Roman" w:eastAsiaTheme="minorEastAsia"/>
          <w:i w:val="0"/>
          <w:iCs w:val="0"/>
          <w:sz w:val="28"/>
          <w:szCs w:val="28"/>
        </w:rPr>
        <w:t>人工水草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_Toc6519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12</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51D11E4E">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_Toc31359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0"/>
          <w:lang w:val="en-US" w:eastAsia="zh-CN" w:bidi="ar-SA"/>
        </w:rPr>
        <w:t>5.2.11</w:t>
      </w:r>
      <w:r>
        <w:rPr>
          <w:rFonts w:hint="default" w:ascii="Times New Roman" w:hAnsi="Times New Roman" w:cs="Times New Roman" w:eastAsiaTheme="minorEastAsia"/>
          <w:i w:val="0"/>
          <w:iCs w:val="0"/>
          <w:sz w:val="28"/>
          <w:szCs w:val="28"/>
        </w:rPr>
        <w:t>生态补水</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_Toc31359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1A491AAF">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_Toc14559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28"/>
          <w:lang w:val="en-US" w:eastAsia="zh-CN"/>
        </w:rPr>
        <w:t>5.2.12</w:t>
      </w:r>
      <w:r>
        <w:rPr>
          <w:rFonts w:hint="default" w:ascii="Times New Roman" w:hAnsi="Times New Roman" w:cs="Times New Roman" w:eastAsiaTheme="minorEastAsia"/>
          <w:i w:val="0"/>
          <w:iCs w:val="0"/>
          <w:sz w:val="28"/>
          <w:szCs w:val="28"/>
        </w:rPr>
        <w:t>水动力循环</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_Toc14559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13</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5DA8204D">
      <w:pPr>
        <w:pStyle w:val="13"/>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_Toc19337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rPr>
        <w:t>5.2.13</w:t>
      </w:r>
      <w:r>
        <w:rPr>
          <w:rFonts w:hint="default" w:ascii="Times New Roman" w:hAnsi="Times New Roman" w:cs="Times New Roman" w:eastAsiaTheme="minorEastAsia"/>
          <w:i w:val="0"/>
          <w:iCs w:val="0"/>
          <w:sz w:val="28"/>
          <w:szCs w:val="28"/>
        </w:rPr>
        <w:t>技术比选</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_Toc19337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43A39444">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_Toc5015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28"/>
          <w:lang w:val="en-US" w:eastAsia="zh-CN"/>
        </w:rPr>
        <w:t>六、</w:t>
      </w:r>
      <w:r>
        <w:rPr>
          <w:rFonts w:hint="default" w:ascii="Times New Roman" w:hAnsi="Times New Roman" w:cs="Times New Roman" w:eastAsiaTheme="minorEastAsia"/>
          <w:i w:val="0"/>
          <w:iCs w:val="0"/>
          <w:sz w:val="28"/>
          <w:szCs w:val="28"/>
          <w:lang w:eastAsia="zh-CN"/>
        </w:rPr>
        <w:t>国内外标准情况、与国际标准一致性程度情况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_Toc5015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14</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39143546">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default" w:ascii="Times New Roman" w:hAnsi="Times New Roman" w:cs="Times New Roman" w:eastAsiaTheme="minorEastAsia"/>
          <w:i w:val="0"/>
          <w:iCs w:val="0"/>
          <w:sz w:val="28"/>
          <w:szCs w:val="28"/>
        </w:rPr>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_Toc16118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七、与相关强制性标准、法律法规配套情况</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_Toc16118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15</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0A9854D5">
      <w:pPr>
        <w:pStyle w:val="1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pPr>
      <w:r>
        <w:rPr>
          <w:rFonts w:hint="default" w:ascii="Times New Roman" w:hAnsi="Times New Roman" w:cs="Times New Roman" w:eastAsiaTheme="minorEastAsia"/>
          <w:i w:val="0"/>
          <w:iCs w:val="0"/>
          <w:color w:val="000000"/>
          <w:sz w:val="28"/>
          <w:szCs w:val="44"/>
        </w:rPr>
        <w:fldChar w:fldCharType="begin"/>
      </w:r>
      <w:r>
        <w:rPr>
          <w:rFonts w:hint="default" w:ascii="Times New Roman" w:hAnsi="Times New Roman" w:cs="Times New Roman" w:eastAsiaTheme="minorEastAsia"/>
          <w:i w:val="0"/>
          <w:iCs w:val="0"/>
          <w:sz w:val="28"/>
          <w:szCs w:val="44"/>
        </w:rPr>
        <w:instrText xml:space="preserve"> HYPERLINK \l _Toc26417 </w:instrText>
      </w:r>
      <w:r>
        <w:rPr>
          <w:rFonts w:hint="default" w:ascii="Times New Roman" w:hAnsi="Times New Roman" w:cs="Times New Roman" w:eastAsiaTheme="minorEastAsia"/>
          <w:i w:val="0"/>
          <w:iCs w:val="0"/>
          <w:sz w:val="28"/>
          <w:szCs w:val="44"/>
        </w:rPr>
        <w:fldChar w:fldCharType="separate"/>
      </w:r>
      <w:r>
        <w:rPr>
          <w:rFonts w:hint="default" w:ascii="Times New Roman" w:hAnsi="Times New Roman" w:cs="Times New Roman" w:eastAsiaTheme="minorEastAsia"/>
          <w:i w:val="0"/>
          <w:iCs w:val="0"/>
          <w:sz w:val="28"/>
          <w:szCs w:val="44"/>
          <w:lang w:val="en-US" w:eastAsia="zh-CN" w:bidi="ar-SA"/>
        </w:rPr>
        <w:t>八、</w:t>
      </w:r>
      <w:r>
        <w:rPr>
          <w:rFonts w:hint="default" w:ascii="Times New Roman" w:hAnsi="Times New Roman" w:cs="Times New Roman" w:eastAsiaTheme="minorEastAsia"/>
          <w:i w:val="0"/>
          <w:iCs w:val="0"/>
          <w:sz w:val="28"/>
          <w:szCs w:val="28"/>
          <w:lang w:eastAsia="zh-CN"/>
        </w:rPr>
        <w:t>实施本文件的建议</w:t>
      </w:r>
      <w:r>
        <w:rPr>
          <w:rFonts w:hint="default" w:ascii="Times New Roman" w:hAnsi="Times New Roman" w:cs="Times New Roman" w:eastAsiaTheme="minorEastAsia"/>
          <w:i w:val="0"/>
          <w:iCs w:val="0"/>
          <w:sz w:val="28"/>
          <w:szCs w:val="28"/>
        </w:rPr>
        <w:tab/>
      </w:r>
      <w:r>
        <w:rPr>
          <w:rFonts w:hint="default" w:ascii="Times New Roman" w:hAnsi="Times New Roman" w:cs="Times New Roman" w:eastAsiaTheme="minorEastAsia"/>
          <w:i w:val="0"/>
          <w:iCs w:val="0"/>
          <w:sz w:val="28"/>
          <w:szCs w:val="28"/>
        </w:rPr>
        <w:fldChar w:fldCharType="begin"/>
      </w:r>
      <w:r>
        <w:rPr>
          <w:rFonts w:hint="default" w:ascii="Times New Roman" w:hAnsi="Times New Roman" w:cs="Times New Roman" w:eastAsiaTheme="minorEastAsia"/>
          <w:i w:val="0"/>
          <w:iCs w:val="0"/>
          <w:sz w:val="28"/>
          <w:szCs w:val="28"/>
        </w:rPr>
        <w:instrText xml:space="preserve"> PAGEREF _Toc26417 \h </w:instrText>
      </w:r>
      <w:r>
        <w:rPr>
          <w:rFonts w:hint="default" w:ascii="Times New Roman" w:hAnsi="Times New Roman" w:cs="Times New Roman" w:eastAsiaTheme="minorEastAsia"/>
          <w:i w:val="0"/>
          <w:iCs w:val="0"/>
          <w:sz w:val="28"/>
          <w:szCs w:val="28"/>
        </w:rPr>
        <w:fldChar w:fldCharType="separate"/>
      </w:r>
      <w:r>
        <w:rPr>
          <w:rFonts w:hint="default" w:ascii="Times New Roman" w:hAnsi="Times New Roman" w:cs="Times New Roman" w:eastAsiaTheme="minorEastAsia"/>
          <w:i w:val="0"/>
          <w:iCs w:val="0"/>
          <w:sz w:val="28"/>
          <w:szCs w:val="28"/>
        </w:rPr>
        <w:t>16</w:t>
      </w:r>
      <w:r>
        <w:rPr>
          <w:rFonts w:hint="default" w:ascii="Times New Roman" w:hAnsi="Times New Roman" w:cs="Times New Roman" w:eastAsiaTheme="minorEastAsia"/>
          <w:i w:val="0"/>
          <w:iCs w:val="0"/>
          <w:sz w:val="28"/>
          <w:szCs w:val="28"/>
        </w:rPr>
        <w:fldChar w:fldCharType="end"/>
      </w:r>
      <w:r>
        <w:rPr>
          <w:rFonts w:hint="default" w:ascii="Times New Roman" w:hAnsi="Times New Roman" w:cs="Times New Roman" w:eastAsiaTheme="minorEastAsia"/>
          <w:i w:val="0"/>
          <w:iCs w:val="0"/>
          <w:color w:val="000000"/>
          <w:sz w:val="28"/>
          <w:szCs w:val="44"/>
        </w:rPr>
        <w:fldChar w:fldCharType="end"/>
      </w:r>
    </w:p>
    <w:p w14:paraId="062385F1">
      <w:pPr>
        <w:pStyle w:val="19"/>
        <w:keepNext w:val="0"/>
        <w:keepLines w:val="0"/>
        <w:pageBreakBefore w:val="0"/>
        <w:widowControl w:val="0"/>
        <w:tabs>
          <w:tab w:val="left" w:pos="880"/>
          <w:tab w:val="right" w:leader="dot" w:pos="8296"/>
        </w:tabs>
        <w:kinsoku/>
        <w:wordWrap/>
        <w:overflowPunct/>
        <w:topLinePunct w:val="0"/>
        <w:autoSpaceDE/>
        <w:autoSpaceDN/>
        <w:bidi w:val="0"/>
        <w:adjustRightInd/>
        <w:snapToGrid w:val="0"/>
        <w:spacing w:line="440" w:lineRule="exact"/>
        <w:ind w:firstLine="562"/>
        <w:textAlignment w:val="auto"/>
        <w:rPr>
          <w:rFonts w:ascii="Times New Roman" w:hAnsi="Times New Roman" w:cs="Times New Roman"/>
          <w:color w:val="000000"/>
          <w:sz w:val="22"/>
        </w:rPr>
      </w:pPr>
      <w:r>
        <w:rPr>
          <w:rFonts w:hint="eastAsia" w:asciiTheme="minorEastAsia" w:hAnsiTheme="minorEastAsia" w:eastAsiaTheme="minorEastAsia" w:cstheme="minorEastAsia"/>
          <w:i w:val="0"/>
          <w:iCs w:val="0"/>
          <w:color w:val="000000"/>
          <w:szCs w:val="28"/>
        </w:rPr>
        <w:fldChar w:fldCharType="end"/>
      </w:r>
    </w:p>
    <w:p w14:paraId="21996BFD">
      <w:pPr>
        <w:adjustRightInd w:val="0"/>
        <w:snapToGrid w:val="0"/>
        <w:spacing w:line="360" w:lineRule="auto"/>
        <w:ind w:firstLine="560"/>
        <w:rPr>
          <w:color w:val="000000"/>
          <w:sz w:val="28"/>
          <w:szCs w:val="24"/>
          <w:lang w:eastAsia="zh-CN"/>
        </w:rPr>
        <w:sectPr>
          <w:footerReference r:id="rId12" w:type="first"/>
          <w:footerReference r:id="rId11" w:type="default"/>
          <w:pgSz w:w="11906" w:h="16838"/>
          <w:pgMar w:top="1440" w:right="1800" w:bottom="1440" w:left="1800" w:header="851" w:footer="992" w:gutter="0"/>
          <w:pgNumType w:fmt="upperRoman" w:start="1"/>
          <w:cols w:space="720" w:num="1"/>
          <w:titlePg/>
          <w:docGrid w:type="lines" w:linePitch="326" w:charSpace="0"/>
        </w:sectPr>
      </w:pPr>
    </w:p>
    <w:p w14:paraId="6BCC318B">
      <w:pPr>
        <w:pStyle w:val="2"/>
        <w:numPr>
          <w:ilvl w:val="0"/>
          <w:numId w:val="0"/>
        </w:numPr>
        <w:bidi w:val="0"/>
        <w:ind w:left="0" w:leftChars="0" w:firstLine="0" w:firstLineChars="0"/>
        <w:rPr>
          <w:lang w:eastAsia="zh-CN"/>
        </w:rPr>
      </w:pPr>
      <w:bookmarkStart w:id="4" w:name="_Toc11677"/>
      <w:r>
        <w:rPr>
          <w:rFonts w:hint="eastAsia" w:ascii="Times New Roman" w:hAnsi="Times New Roman" w:eastAsia="黑体" w:cs="Times New Roman"/>
          <w:sz w:val="32"/>
          <w:szCs w:val="28"/>
          <w:lang w:val="en-US" w:eastAsia="zh-CN" w:bidi="ar-SA"/>
        </w:rPr>
        <w:t>一、</w:t>
      </w:r>
      <w:r>
        <w:rPr>
          <w:rFonts w:hint="eastAsia"/>
          <w:lang w:eastAsia="zh-CN"/>
        </w:rPr>
        <w:t>出台</w:t>
      </w:r>
      <w:r>
        <w:rPr>
          <w:lang w:eastAsia="zh-CN"/>
        </w:rPr>
        <w:t>背景</w:t>
      </w:r>
      <w:bookmarkEnd w:id="1"/>
      <w:bookmarkEnd w:id="2"/>
      <w:bookmarkEnd w:id="3"/>
      <w:bookmarkEnd w:id="4"/>
    </w:p>
    <w:p w14:paraId="43B91561">
      <w:pPr>
        <w:adjustRightInd w:val="0"/>
        <w:snapToGrid w:val="0"/>
        <w:spacing w:line="360" w:lineRule="auto"/>
        <w:ind w:firstLine="560"/>
        <w:rPr>
          <w:color w:val="000000"/>
          <w:sz w:val="28"/>
          <w:szCs w:val="28"/>
          <w:lang w:eastAsia="zh-CN"/>
        </w:rPr>
      </w:pPr>
      <w:r>
        <w:rPr>
          <w:rFonts w:hint="eastAsia"/>
          <w:color w:val="000000"/>
          <w:sz w:val="28"/>
          <w:szCs w:val="28"/>
          <w:lang w:eastAsia="zh-CN"/>
        </w:rPr>
        <w:t>近年来，随着人为社会经济活动影响，生态环境受到明显损害，湖库营养过程加剧，水生态系统健康受到很大冲击。水生态修复是湖库水质改善，生态功能恢复的重要途径之一，水生生物修复技术在湖库生态修复中被广泛应用。</w:t>
      </w:r>
    </w:p>
    <w:p w14:paraId="52C25402">
      <w:pPr>
        <w:adjustRightInd w:val="0"/>
        <w:snapToGrid w:val="0"/>
        <w:spacing w:line="360" w:lineRule="auto"/>
        <w:ind w:firstLine="560"/>
        <w:rPr>
          <w:color w:val="000000"/>
          <w:sz w:val="28"/>
          <w:szCs w:val="28"/>
          <w:lang w:eastAsia="zh-CN"/>
        </w:rPr>
      </w:pPr>
      <w:r>
        <w:rPr>
          <w:rFonts w:hint="eastAsia"/>
          <w:color w:val="000000"/>
          <w:sz w:val="28"/>
          <w:szCs w:val="28"/>
          <w:lang w:eastAsia="zh-CN"/>
        </w:rPr>
        <w:t>2015年，国务院印发的《水污染防治行动计划》（国发〔2015〕17号）明确提出“加快技术成果推广应用，重点推广水生态修复等适用技术的应用”。《江西省水污染防治工作方案》（赣府发〔2015〕62号）提出“开展全省水污染防治相关技术政策、技术指南的制修订”。</w:t>
      </w:r>
    </w:p>
    <w:p w14:paraId="5C5F7DD1">
      <w:pPr>
        <w:adjustRightInd w:val="0"/>
        <w:snapToGrid w:val="0"/>
        <w:spacing w:line="360" w:lineRule="auto"/>
        <w:ind w:firstLine="560"/>
        <w:rPr>
          <w:color w:val="000000"/>
          <w:sz w:val="28"/>
          <w:szCs w:val="28"/>
          <w:lang w:eastAsia="zh-CN"/>
        </w:rPr>
      </w:pPr>
      <w:r>
        <w:rPr>
          <w:rFonts w:hint="eastAsia"/>
          <w:color w:val="000000"/>
          <w:sz w:val="28"/>
          <w:szCs w:val="28"/>
          <w:lang w:eastAsia="zh-CN"/>
        </w:rPr>
        <w:t>2016年，为推进国家“十三五”环境保护相关规划重大项目实施，环境保护部、财政部启动了水污染防治储备库建设，内容涵盖水质较好湖泊生态环境保护、城市集中式饮用水水源地保护、重点流域水污染防治、地下水污染防治等方面，大量生态修复类项目入库建设。</w:t>
      </w:r>
    </w:p>
    <w:p w14:paraId="3A5C7492">
      <w:pPr>
        <w:adjustRightInd w:val="0"/>
        <w:snapToGrid w:val="0"/>
        <w:spacing w:line="360" w:lineRule="auto"/>
        <w:ind w:firstLine="560"/>
        <w:rPr>
          <w:color w:val="000000"/>
          <w:sz w:val="28"/>
          <w:szCs w:val="28"/>
          <w:lang w:eastAsia="zh-CN"/>
        </w:rPr>
      </w:pPr>
      <w:r>
        <w:rPr>
          <w:rFonts w:hint="eastAsia"/>
          <w:color w:val="000000"/>
          <w:sz w:val="28"/>
          <w:szCs w:val="28"/>
          <w:lang w:eastAsia="zh-CN"/>
        </w:rPr>
        <w:t>《中华人民共和国长江保护法》明确提出“国家实行长江流域生态环境保护责任制和考核制度”。2021年5月14日生态环境部专报《关于推动建立长江流域“十四五”水生态考核机制的建议》提出“制定“十四五”长江流域水生态考核办法；明确长江流域“十四五”水生态试点量化考核指标；水生态考核在长江流域重点区域先行先试”。</w:t>
      </w:r>
    </w:p>
    <w:p w14:paraId="270EE060">
      <w:pPr>
        <w:adjustRightInd w:val="0"/>
        <w:snapToGrid w:val="0"/>
        <w:spacing w:line="360" w:lineRule="auto"/>
        <w:ind w:firstLine="560"/>
        <w:rPr>
          <w:color w:val="000000"/>
          <w:sz w:val="28"/>
          <w:szCs w:val="28"/>
          <w:lang w:eastAsia="zh-CN"/>
        </w:rPr>
      </w:pPr>
      <w:r>
        <w:rPr>
          <w:rFonts w:hint="eastAsia"/>
          <w:color w:val="000000"/>
          <w:sz w:val="28"/>
          <w:szCs w:val="28"/>
          <w:lang w:eastAsia="zh-CN"/>
        </w:rPr>
        <w:t>2021年8月31日中央深改委审议通过的《关于深入打好污染防治攻坚战的意见》明确指出“紧盯污染防治重点领域和关键环节，集中力量攻克老百姓身边的突出生态环境问题，强化多污染物协同控制和区域协同治理，统筹水资源、水环境、水生态治理”。</w:t>
      </w:r>
    </w:p>
    <w:p w14:paraId="1395AE15">
      <w:pPr>
        <w:pStyle w:val="2"/>
        <w:numPr>
          <w:ilvl w:val="0"/>
          <w:numId w:val="0"/>
        </w:numPr>
        <w:bidi w:val="0"/>
        <w:ind w:left="0" w:leftChars="0" w:firstLine="0" w:firstLineChars="0"/>
        <w:rPr>
          <w:rFonts w:hint="eastAsia" w:ascii="Times New Roman" w:hAnsi="Times New Roman" w:cs="Times New Roman"/>
          <w:lang w:eastAsia="zh-CN"/>
        </w:rPr>
      </w:pPr>
      <w:bookmarkStart w:id="5" w:name="_Toc24453"/>
      <w:bookmarkStart w:id="6" w:name="_Toc7993748"/>
      <w:r>
        <w:rPr>
          <w:rFonts w:hint="eastAsia" w:ascii="Times New Roman" w:hAnsi="Times New Roman" w:eastAsia="黑体" w:cs="Times New Roman"/>
          <w:sz w:val="32"/>
          <w:szCs w:val="28"/>
          <w:lang w:val="en-US" w:eastAsia="zh-CN" w:bidi="ar-SA"/>
        </w:rPr>
        <w:t>二、</w:t>
      </w:r>
      <w:r>
        <w:rPr>
          <w:rFonts w:hint="eastAsia" w:ascii="Times New Roman" w:hAnsi="Times New Roman" w:cs="Times New Roman"/>
          <w:lang w:eastAsia="zh-CN"/>
        </w:rPr>
        <w:t>必要性分析</w:t>
      </w:r>
      <w:r>
        <w:rPr>
          <w:rFonts w:hint="eastAsia" w:cs="Times New Roman"/>
          <w:lang w:val="en-US" w:eastAsia="zh-CN"/>
        </w:rPr>
        <w:t>和可行性分析</w:t>
      </w:r>
      <w:bookmarkEnd w:id="5"/>
    </w:p>
    <w:p w14:paraId="0DB543D4">
      <w:pPr>
        <w:pStyle w:val="3"/>
        <w:numPr>
          <w:ilvl w:val="1"/>
          <w:numId w:val="0"/>
        </w:numPr>
        <w:bidi w:val="0"/>
        <w:ind w:left="0" w:leftChars="0" w:firstLine="0" w:firstLineChars="0"/>
        <w:rPr>
          <w:rFonts w:hint="default" w:ascii="Times New Roman" w:hAnsi="Times New Roman" w:cs="Times New Roman"/>
          <w:lang w:val="en-US" w:eastAsia="zh-CN"/>
        </w:rPr>
      </w:pPr>
      <w:bookmarkStart w:id="7" w:name="_Toc18743"/>
      <w:r>
        <w:rPr>
          <w:rFonts w:hint="default" w:ascii="Times New Roman" w:hAnsi="Times New Roman" w:eastAsia="黑体" w:cs="Times New Roman"/>
          <w:sz w:val="28"/>
          <w:szCs w:val="21"/>
          <w:lang w:val="en-US" w:eastAsia="zh-CN" w:bidi="ar-SA"/>
        </w:rPr>
        <w:t>1.1</w:t>
      </w:r>
      <w:r>
        <w:rPr>
          <w:rFonts w:hint="eastAsia" w:ascii="Times New Roman" w:hAnsi="Times New Roman" w:cs="Times New Roman"/>
          <w:lang w:val="en-US" w:eastAsia="zh-CN"/>
        </w:rPr>
        <w:t>必要性</w:t>
      </w:r>
      <w:bookmarkEnd w:id="7"/>
    </w:p>
    <w:p w14:paraId="1997D84C">
      <w:pPr>
        <w:adjustRightInd w:val="0"/>
        <w:snapToGrid w:val="0"/>
        <w:spacing w:line="360" w:lineRule="auto"/>
        <w:ind w:firstLine="560"/>
        <w:rPr>
          <w:rFonts w:hint="eastAsia"/>
          <w:color w:val="000000"/>
          <w:sz w:val="28"/>
          <w:szCs w:val="28"/>
          <w:lang w:eastAsia="zh-CN"/>
        </w:rPr>
      </w:pPr>
      <w:r>
        <w:rPr>
          <w:rFonts w:hint="eastAsia"/>
          <w:color w:val="000000"/>
          <w:sz w:val="28"/>
          <w:szCs w:val="28"/>
          <w:lang w:eastAsia="zh-CN"/>
        </w:rPr>
        <w:t>我省制定《湖库水生态修复技术指南 第2部分：水质改善（试行）》指南出于两方面考虑。一是助力我省做好水生态考核工作的实际行动。2022年国家启动对长江流域开展水生态考核工作，并于2023年6月由国务院四部委联合印发了《长江流域水生态考核指标评分细则（试行）》，其中我省涉及的考核水体为长江江西段、鄱阳湖和赣江干流。2022年和2023年，国家连续两年开展长江流域水生态考核试点工作，其中</w:t>
      </w:r>
      <w:r>
        <w:rPr>
          <w:rFonts w:hint="eastAsia"/>
          <w:color w:val="000000"/>
          <w:sz w:val="28"/>
          <w:szCs w:val="28"/>
          <w:lang w:val="en-US" w:eastAsia="zh-CN"/>
        </w:rPr>
        <w:t>水环境保护</w:t>
      </w:r>
      <w:r>
        <w:rPr>
          <w:rFonts w:hint="eastAsia"/>
          <w:color w:val="000000"/>
          <w:sz w:val="28"/>
          <w:szCs w:val="28"/>
          <w:lang w:eastAsia="zh-CN"/>
        </w:rPr>
        <w:t>一级指标中的</w:t>
      </w:r>
      <w:r>
        <w:rPr>
          <w:rFonts w:hint="eastAsia"/>
          <w:color w:val="000000"/>
          <w:sz w:val="28"/>
          <w:szCs w:val="28"/>
          <w:lang w:val="en-US" w:eastAsia="zh-CN"/>
        </w:rPr>
        <w:t>综合污染状况、汛期污染强度</w:t>
      </w:r>
      <w:r>
        <w:rPr>
          <w:rFonts w:hint="eastAsia"/>
          <w:color w:val="000000"/>
          <w:sz w:val="28"/>
          <w:szCs w:val="28"/>
          <w:lang w:eastAsia="zh-CN"/>
        </w:rPr>
        <w:t>等二级指标现状值与期望值差距较大。现阶段，各地提升湖库水生态系统健康面临诸多挑战，尤其是在</w:t>
      </w:r>
      <w:r>
        <w:rPr>
          <w:rFonts w:hint="eastAsia"/>
          <w:color w:val="000000"/>
          <w:sz w:val="28"/>
          <w:szCs w:val="28"/>
          <w:lang w:val="en-US" w:eastAsia="zh-CN"/>
        </w:rPr>
        <w:t>水质提升</w:t>
      </w:r>
      <w:r>
        <w:rPr>
          <w:rFonts w:hint="eastAsia"/>
          <w:color w:val="000000"/>
          <w:sz w:val="28"/>
          <w:szCs w:val="28"/>
          <w:lang w:eastAsia="zh-CN"/>
        </w:rPr>
        <w:t>方面缺乏技术支撑，亟需编制《湖库水生态修复技术指南 第2部分：水质改善（试行）》指南用于指导我省重要湖库水生态系统质量提升。二是水污染防治中央储备库建设和我省生态环境保护工作的实际需求。我省各市、区、县等地方政府在实施湖库水生态修复项目时往往遇到技术选择的茫然、技术实施效果的不确定以及技术实施监管的盲区等突出问题，严重制约着中央、地方专项资金实施效果和执行效率，降低政府的执政效能。目前我省在大型湖泊如柘林湖、仙女湖、陡水湖、万安水库、洪门水库，在水库型水源地如东津水库、长冈水库、共产主义水库、玉田湖，在天然湖泊如九江八里湖、南昌前湖、青山湖、鄱阳县东湖、共青城市南湖、鄱阳湖区等迫切需要开展相关生态修复试点和工程。近年来随着我省环保工作推进，全省水环境质量明显好转，但</w:t>
      </w:r>
      <w:r>
        <w:rPr>
          <w:rFonts w:hint="eastAsia"/>
          <w:color w:val="000000"/>
          <w:sz w:val="28"/>
          <w:szCs w:val="28"/>
          <w:lang w:val="en-US" w:eastAsia="zh-CN"/>
        </w:rPr>
        <w:t>部分水体</w:t>
      </w:r>
      <w:r>
        <w:rPr>
          <w:rFonts w:hint="eastAsia"/>
          <w:color w:val="000000"/>
          <w:sz w:val="28"/>
          <w:szCs w:val="28"/>
          <w:lang w:eastAsia="zh-CN"/>
        </w:rPr>
        <w:t>水质</w:t>
      </w:r>
      <w:r>
        <w:rPr>
          <w:rFonts w:hint="eastAsia"/>
          <w:color w:val="000000"/>
          <w:sz w:val="28"/>
          <w:szCs w:val="28"/>
          <w:lang w:val="en-US" w:eastAsia="zh-CN"/>
        </w:rPr>
        <w:t>超标现象仍时有发生</w:t>
      </w:r>
      <w:r>
        <w:rPr>
          <w:rFonts w:hint="eastAsia"/>
          <w:color w:val="000000"/>
          <w:sz w:val="28"/>
          <w:szCs w:val="28"/>
          <w:lang w:eastAsia="zh-CN"/>
        </w:rPr>
        <w:t>，因此，亟需制定适用于本地区特色的水质改善技术指南。</w:t>
      </w:r>
    </w:p>
    <w:p w14:paraId="5B5D11C4">
      <w:pPr>
        <w:pStyle w:val="3"/>
        <w:numPr>
          <w:ilvl w:val="1"/>
          <w:numId w:val="0"/>
        </w:numPr>
        <w:bidi w:val="0"/>
        <w:ind w:left="0" w:leftChars="0" w:firstLine="0" w:firstLineChars="0"/>
        <w:rPr>
          <w:rFonts w:hint="default" w:ascii="Times New Roman" w:hAnsi="Times New Roman" w:cs="Times New Roman"/>
          <w:lang w:val="en-US" w:eastAsia="zh-CN"/>
        </w:rPr>
      </w:pPr>
      <w:bookmarkStart w:id="8" w:name="_Toc12493"/>
      <w:r>
        <w:rPr>
          <w:rFonts w:hint="default" w:ascii="Times New Roman" w:hAnsi="Times New Roman" w:eastAsia="黑体" w:cs="Times New Roman"/>
          <w:sz w:val="28"/>
          <w:szCs w:val="21"/>
          <w:lang w:val="en-US" w:eastAsia="zh-CN" w:bidi="ar-SA"/>
        </w:rPr>
        <w:t>1.2</w:t>
      </w:r>
      <w:r>
        <w:rPr>
          <w:rFonts w:hint="eastAsia" w:ascii="Times New Roman" w:hAnsi="Times New Roman" w:cs="Times New Roman"/>
          <w:lang w:val="en-US" w:eastAsia="zh-CN"/>
        </w:rPr>
        <w:t>可行性</w:t>
      </w:r>
      <w:bookmarkEnd w:id="8"/>
    </w:p>
    <w:p w14:paraId="2672E48A">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（1）标准编制的经济成本低</w:t>
      </w:r>
    </w:p>
    <w:p w14:paraId="3D6A61C4">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本标准中推荐的水质改善适用技术在国内外较为成熟，无需开展相关技术研发，整个指南编制过程中经济成本投入较少，在人力、时间保障充足下能很好完成本标准编制工作。</w:t>
      </w:r>
    </w:p>
    <w:p w14:paraId="6995BA16">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（2）标准编制的技术团队强</w:t>
      </w:r>
    </w:p>
    <w:p w14:paraId="751A27B5">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本标准编制工作联合了省内外湖库水质改善技术研发方面的优势团队科研力量，其中起草单位是江西省生态环境科学研究与规划院、中国科学院水生生物研究所和中国环境科学研究院，标准编制团队既包括国家权威科研院所，又有地方科研机构，多方科研力量优势互补，为本标准的编制完成提供坚实的技术团队保障。</w:t>
      </w:r>
    </w:p>
    <w:p w14:paraId="2A4D113C">
      <w:pPr>
        <w:adjustRightInd w:val="0"/>
        <w:snapToGrid w:val="0"/>
        <w:spacing w:line="360" w:lineRule="auto"/>
        <w:ind w:firstLine="560"/>
        <w:rPr>
          <w:rFonts w:hint="default"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（3）标准编制的研究基础扎实</w:t>
      </w:r>
    </w:p>
    <w:p w14:paraId="510B0A72">
      <w:pPr>
        <w:adjustRightInd w:val="0"/>
        <w:snapToGrid w:val="0"/>
        <w:spacing w:line="360" w:lineRule="auto"/>
        <w:ind w:firstLine="560"/>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为做好本标准的编制工作，前期标准起草单位江西省生态环境科学研究与规划院通过大量资料收集、实地调研、部门对接等方式，基本摸清我省重点湖库水环境质量现状，为本标准编制提供了有力的数据支撑。中国科学院水生生物研究所和中国环境科学研究院长期从事水生态修复技术研发，在太湖、滇池、巢湖、武汉东湖等重要水体均有治理经验，集成了一批典型案例，为本标准编制提供了的充足的技术保障。</w:t>
      </w:r>
    </w:p>
    <w:p w14:paraId="00894E06">
      <w:pPr>
        <w:pStyle w:val="2"/>
        <w:numPr>
          <w:ilvl w:val="0"/>
          <w:numId w:val="0"/>
        </w:numPr>
        <w:bidi w:val="0"/>
        <w:ind w:left="0" w:leftChars="0" w:firstLine="0" w:firstLineChars="0"/>
        <w:rPr>
          <w:rFonts w:hint="eastAsia" w:ascii="Times New Roman" w:hAnsi="Times New Roman" w:cs="Times New Roman"/>
          <w:lang w:eastAsia="zh-CN"/>
        </w:rPr>
      </w:pPr>
      <w:bookmarkStart w:id="9" w:name="_Toc25401"/>
      <w:r>
        <w:rPr>
          <w:rFonts w:hint="eastAsia" w:ascii="Times New Roman" w:hAnsi="Times New Roman" w:eastAsia="黑体" w:cs="Times New Roman"/>
          <w:sz w:val="32"/>
          <w:szCs w:val="28"/>
          <w:lang w:val="en-US" w:eastAsia="zh-CN" w:bidi="ar-SA"/>
        </w:rPr>
        <w:t>三、</w:t>
      </w:r>
      <w:r>
        <w:rPr>
          <w:rFonts w:hint="eastAsia" w:ascii="Times New Roman" w:hAnsi="Times New Roman" w:cs="Times New Roman"/>
          <w:lang w:eastAsia="zh-CN"/>
        </w:rPr>
        <w:t>标准</w:t>
      </w:r>
      <w:bookmarkEnd w:id="6"/>
      <w:r>
        <w:rPr>
          <w:rFonts w:hint="eastAsia" w:ascii="Times New Roman" w:hAnsi="Times New Roman" w:cs="Times New Roman"/>
          <w:lang w:eastAsia="zh-CN"/>
        </w:rPr>
        <w:t>框架的确定</w:t>
      </w:r>
      <w:bookmarkEnd w:id="9"/>
    </w:p>
    <w:p w14:paraId="6FD51999">
      <w:pPr>
        <w:pStyle w:val="3"/>
        <w:numPr>
          <w:ilvl w:val="1"/>
          <w:numId w:val="0"/>
        </w:numPr>
        <w:bidi w:val="0"/>
        <w:ind w:left="0" w:leftChars="0" w:firstLine="0" w:firstLineChars="0"/>
      </w:pPr>
      <w:bookmarkStart w:id="10" w:name="_Toc19169"/>
      <w:bookmarkStart w:id="11" w:name="_Toc516221856"/>
      <w:bookmarkStart w:id="12" w:name="_Toc6432764"/>
      <w:bookmarkStart w:id="13" w:name="_Toc7993749"/>
      <w:bookmarkStart w:id="14" w:name="_Toc315921000"/>
      <w:bookmarkStart w:id="15" w:name="_Toc273611421"/>
      <w:bookmarkStart w:id="16" w:name="_Toc29715"/>
      <w:bookmarkStart w:id="17" w:name="_Toc267904043"/>
      <w:bookmarkStart w:id="18" w:name="_Toc516221859"/>
      <w:bookmarkStart w:id="19" w:name="_Toc276747165"/>
      <w:bookmarkStart w:id="20" w:name="_Toc246884250"/>
      <w:bookmarkStart w:id="21" w:name="_Toc267645451"/>
      <w:r>
        <w:rPr>
          <w:rFonts w:hint="eastAsia" w:ascii="Times New Roman" w:hAnsi="Times New Roman" w:cs="Times New Roman"/>
          <w:sz w:val="28"/>
          <w:szCs w:val="21"/>
          <w:lang w:val="en-US" w:eastAsia="zh-CN" w:bidi="ar-SA"/>
        </w:rPr>
        <w:t>3.1</w:t>
      </w:r>
      <w:r>
        <w:t>总体思路</w:t>
      </w:r>
      <w:bookmarkEnd w:id="10"/>
      <w:bookmarkEnd w:id="11"/>
      <w:bookmarkEnd w:id="12"/>
      <w:bookmarkEnd w:id="13"/>
    </w:p>
    <w:p w14:paraId="53AD0EF7">
      <w:pPr>
        <w:adjustRightInd w:val="0"/>
        <w:snapToGrid w:val="0"/>
        <w:spacing w:line="360" w:lineRule="auto"/>
        <w:ind w:firstLine="560"/>
        <w:rPr>
          <w:color w:val="000000"/>
          <w:sz w:val="28"/>
          <w:szCs w:val="28"/>
          <w:lang w:eastAsia="zh-CN"/>
        </w:rPr>
      </w:pPr>
      <w:r>
        <w:rPr>
          <w:sz w:val="28"/>
          <w:szCs w:val="24"/>
          <w:lang w:eastAsia="zh-CN"/>
        </w:rPr>
        <w:t>本文件制定的总体思路是：以现行法律法规及标准规范要求为依据，遵循“</w:t>
      </w:r>
      <w:r>
        <w:rPr>
          <w:rFonts w:hint="eastAsia"/>
          <w:sz w:val="28"/>
          <w:szCs w:val="24"/>
          <w:lang w:eastAsia="zh-CN"/>
        </w:rPr>
        <w:t>标本兼治、安全可靠、经济适用</w:t>
      </w:r>
      <w:r>
        <w:rPr>
          <w:sz w:val="28"/>
          <w:szCs w:val="24"/>
          <w:lang w:eastAsia="zh-CN"/>
        </w:rPr>
        <w:t>”的原则，</w:t>
      </w:r>
      <w:r>
        <w:rPr>
          <w:sz w:val="28"/>
          <w:szCs w:val="28"/>
          <w:lang w:eastAsia="zh-CN"/>
        </w:rPr>
        <w:t>通过对我省</w:t>
      </w:r>
      <w:r>
        <w:rPr>
          <w:rFonts w:hint="eastAsia"/>
          <w:sz w:val="28"/>
          <w:szCs w:val="28"/>
          <w:lang w:eastAsia="zh-CN"/>
        </w:rPr>
        <w:t>湖库</w:t>
      </w:r>
      <w:r>
        <w:rPr>
          <w:rFonts w:hint="eastAsia"/>
          <w:sz w:val="28"/>
          <w:szCs w:val="28"/>
          <w:lang w:val="en-US" w:eastAsia="zh-CN"/>
        </w:rPr>
        <w:t>水质改善</w:t>
      </w:r>
      <w:r>
        <w:rPr>
          <w:sz w:val="28"/>
          <w:szCs w:val="28"/>
          <w:lang w:eastAsia="zh-CN"/>
        </w:rPr>
        <w:t>适用技术的调研，</w:t>
      </w:r>
      <w:r>
        <w:rPr>
          <w:sz w:val="28"/>
          <w:szCs w:val="24"/>
          <w:lang w:eastAsia="zh-CN"/>
        </w:rPr>
        <w:t>在充分总结经验的基础上，根据江西省各地</w:t>
      </w:r>
      <w:r>
        <w:rPr>
          <w:rFonts w:hint="eastAsia"/>
          <w:sz w:val="28"/>
          <w:szCs w:val="28"/>
          <w:lang w:val="en-US" w:eastAsia="zh-CN"/>
        </w:rPr>
        <w:t>水质改善</w:t>
      </w:r>
      <w:r>
        <w:rPr>
          <w:rFonts w:hint="eastAsia"/>
          <w:sz w:val="28"/>
          <w:szCs w:val="24"/>
          <w:lang w:eastAsia="zh-CN"/>
        </w:rPr>
        <w:t>修复工程实施现状和未来</w:t>
      </w:r>
      <w:r>
        <w:rPr>
          <w:sz w:val="28"/>
          <w:szCs w:val="24"/>
          <w:lang w:eastAsia="zh-CN"/>
        </w:rPr>
        <w:t>需求，通过</w:t>
      </w:r>
      <w:r>
        <w:rPr>
          <w:rFonts w:hint="eastAsia"/>
          <w:sz w:val="28"/>
          <w:szCs w:val="24"/>
          <w:lang w:eastAsia="zh-CN"/>
        </w:rPr>
        <w:t>资料查阅</w:t>
      </w:r>
      <w:r>
        <w:rPr>
          <w:sz w:val="28"/>
          <w:szCs w:val="24"/>
          <w:lang w:eastAsia="zh-CN"/>
        </w:rPr>
        <w:t>、实地调研、专家咨询等多种形式，合理确定</w:t>
      </w:r>
      <w:r>
        <w:rPr>
          <w:rFonts w:hint="eastAsia"/>
          <w:sz w:val="28"/>
          <w:szCs w:val="24"/>
          <w:lang w:eastAsia="zh-CN"/>
        </w:rPr>
        <w:t>指南</w:t>
      </w:r>
      <w:r>
        <w:rPr>
          <w:sz w:val="28"/>
          <w:szCs w:val="24"/>
          <w:lang w:eastAsia="zh-CN"/>
        </w:rPr>
        <w:t>框架结构，准确定位</w:t>
      </w:r>
      <w:r>
        <w:rPr>
          <w:rFonts w:hint="eastAsia"/>
          <w:sz w:val="28"/>
          <w:szCs w:val="24"/>
          <w:lang w:eastAsia="zh-CN"/>
        </w:rPr>
        <w:t>各技术的适用范围、特点及限制因素</w:t>
      </w:r>
      <w:r>
        <w:rPr>
          <w:sz w:val="28"/>
          <w:szCs w:val="24"/>
          <w:lang w:eastAsia="zh-CN"/>
        </w:rPr>
        <w:t>，</w:t>
      </w:r>
      <w:r>
        <w:rPr>
          <w:rFonts w:hint="eastAsia"/>
          <w:color w:val="000000"/>
          <w:sz w:val="28"/>
          <w:szCs w:val="28"/>
          <w:lang w:eastAsia="zh-CN"/>
        </w:rPr>
        <w:t>我省湖库</w:t>
      </w:r>
      <w:r>
        <w:rPr>
          <w:rFonts w:hint="eastAsia"/>
          <w:sz w:val="28"/>
          <w:szCs w:val="28"/>
          <w:lang w:val="en-US" w:eastAsia="zh-CN"/>
        </w:rPr>
        <w:t>水质改善</w:t>
      </w:r>
      <w:r>
        <w:rPr>
          <w:rFonts w:hint="eastAsia"/>
          <w:color w:val="000000"/>
          <w:sz w:val="28"/>
          <w:szCs w:val="28"/>
          <w:lang w:eastAsia="zh-CN"/>
        </w:rPr>
        <w:t>修复工作</w:t>
      </w:r>
      <w:r>
        <w:rPr>
          <w:color w:val="000000"/>
          <w:sz w:val="28"/>
          <w:szCs w:val="28"/>
          <w:lang w:eastAsia="zh-CN"/>
        </w:rPr>
        <w:t>提供强有力的技术支撑。</w:t>
      </w:r>
    </w:p>
    <w:p w14:paraId="40E27A9E">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2" w:name="_Toc10195"/>
      <w:bookmarkStart w:id="23" w:name="_Toc7993750"/>
      <w:bookmarkStart w:id="24" w:name="_Toc6432765"/>
      <w:r>
        <w:rPr>
          <w:rFonts w:hint="eastAsia"/>
          <w:color w:val="000000"/>
          <w:sz w:val="30"/>
          <w:szCs w:val="30"/>
          <w:lang w:val="en-US" w:eastAsia="zh-CN"/>
        </w:rPr>
        <w:t>3.2</w:t>
      </w:r>
      <w:r>
        <w:rPr>
          <w:color w:val="000000"/>
          <w:sz w:val="30"/>
          <w:szCs w:val="30"/>
        </w:rPr>
        <w:t>编制依据</w:t>
      </w:r>
      <w:bookmarkEnd w:id="14"/>
      <w:bookmarkEnd w:id="15"/>
      <w:bookmarkEnd w:id="16"/>
      <w:bookmarkEnd w:id="17"/>
      <w:bookmarkEnd w:id="18"/>
      <w:bookmarkEnd w:id="19"/>
      <w:bookmarkEnd w:id="20"/>
      <w:bookmarkEnd w:id="21"/>
      <w:bookmarkEnd w:id="22"/>
      <w:bookmarkEnd w:id="23"/>
      <w:bookmarkEnd w:id="24"/>
    </w:p>
    <w:p w14:paraId="4CC09176">
      <w:pPr>
        <w:adjustRightInd w:val="0"/>
        <w:snapToGrid w:val="0"/>
        <w:spacing w:line="360" w:lineRule="auto"/>
        <w:ind w:firstLine="560"/>
        <w:rPr>
          <w:sz w:val="28"/>
          <w:szCs w:val="24"/>
          <w:lang w:eastAsia="zh-CN"/>
        </w:rPr>
      </w:pPr>
      <w:r>
        <w:rPr>
          <w:rFonts w:hint="eastAsia"/>
          <w:sz w:val="28"/>
          <w:szCs w:val="24"/>
          <w:lang w:eastAsia="zh-CN"/>
        </w:rPr>
        <w:t>本系列指南的制定参考借鉴了《地表水环境质量标准》（GB 3838）、《污水综合排放标准》（GB 8978）、《水质采样方案设计规定》（GB/T 12997）、《水质采样样品的保存和管理技术规定》（GB/T 12999）、《水质、湖泊和水库采样技术指导》（GB/T 14581）、《水质采样技术指导》（GB/T 12998）等国家标准。</w:t>
      </w:r>
    </w:p>
    <w:p w14:paraId="7DDB5954">
      <w:pPr>
        <w:adjustRightInd w:val="0"/>
        <w:snapToGrid w:val="0"/>
        <w:spacing w:line="360" w:lineRule="auto"/>
        <w:ind w:firstLine="560"/>
        <w:rPr>
          <w:sz w:val="28"/>
          <w:szCs w:val="24"/>
          <w:lang w:eastAsia="zh-CN"/>
        </w:rPr>
      </w:pPr>
      <w:r>
        <w:rPr>
          <w:rFonts w:hint="eastAsia"/>
          <w:sz w:val="28"/>
          <w:szCs w:val="24"/>
          <w:lang w:eastAsia="zh-CN"/>
        </w:rPr>
        <w:t>参考借鉴了《水质 硝酸盐氮的测定 紫外分光光度法（试行）》（HJ/T 346）、《饮用水水源保护区标志技术要求》（HJ/T 433）、《污水混凝与絮凝处理工程技术规范》（HJ 2006）等行业标准，</w:t>
      </w:r>
      <w:r>
        <w:rPr>
          <w:sz w:val="28"/>
          <w:szCs w:val="24"/>
          <w:lang w:eastAsia="zh-CN"/>
        </w:rPr>
        <w:t>吸取了各</w:t>
      </w:r>
      <w:r>
        <w:rPr>
          <w:rFonts w:hint="eastAsia"/>
          <w:sz w:val="28"/>
          <w:szCs w:val="24"/>
          <w:lang w:eastAsia="zh-CN"/>
        </w:rPr>
        <w:t>方面</w:t>
      </w:r>
      <w:r>
        <w:rPr>
          <w:sz w:val="28"/>
          <w:szCs w:val="24"/>
          <w:lang w:eastAsia="zh-CN"/>
        </w:rPr>
        <w:t>的优秀经验做法。</w:t>
      </w:r>
    </w:p>
    <w:p w14:paraId="4AC177E5">
      <w:pPr>
        <w:pStyle w:val="3"/>
        <w:keepNext w:val="0"/>
        <w:keepLines w:val="0"/>
        <w:numPr>
          <w:ilvl w:val="1"/>
          <w:numId w:val="0"/>
        </w:numPr>
        <w:adjustRightInd w:val="0"/>
        <w:snapToGrid w:val="0"/>
        <w:spacing w:before="0" w:beforeLines="0" w:after="0" w:afterLines="0" w:line="360" w:lineRule="auto"/>
        <w:ind w:left="0" w:leftChars="0" w:firstLine="0" w:firstLineChars="0"/>
        <w:rPr>
          <w:color w:val="000000"/>
          <w:sz w:val="30"/>
          <w:szCs w:val="30"/>
        </w:rPr>
      </w:pPr>
      <w:bookmarkStart w:id="25" w:name="_Toc23665"/>
      <w:bookmarkStart w:id="26" w:name="_Toc25388"/>
      <w:bookmarkStart w:id="27" w:name="_Toc7993751"/>
      <w:bookmarkStart w:id="28" w:name="_Toc515275978"/>
      <w:bookmarkStart w:id="29" w:name="_Toc6795"/>
      <w:bookmarkStart w:id="30" w:name="_Toc6432766"/>
      <w:bookmarkStart w:id="31" w:name="_Toc27143"/>
      <w:r>
        <w:rPr>
          <w:rFonts w:hint="eastAsia"/>
          <w:color w:val="000000"/>
          <w:sz w:val="30"/>
          <w:szCs w:val="30"/>
          <w:lang w:val="en-US" w:eastAsia="zh-CN"/>
        </w:rPr>
        <w:t>3.3</w:t>
      </w:r>
      <w:r>
        <w:rPr>
          <w:color w:val="000000"/>
          <w:sz w:val="30"/>
          <w:szCs w:val="30"/>
        </w:rPr>
        <w:t>编制原则</w:t>
      </w:r>
      <w:bookmarkEnd w:id="25"/>
      <w:bookmarkEnd w:id="26"/>
      <w:bookmarkEnd w:id="27"/>
      <w:bookmarkEnd w:id="28"/>
      <w:bookmarkEnd w:id="29"/>
      <w:bookmarkEnd w:id="30"/>
      <w:bookmarkEnd w:id="31"/>
    </w:p>
    <w:p w14:paraId="4794558F">
      <w:pPr>
        <w:adjustRightInd w:val="0"/>
        <w:snapToGrid w:val="0"/>
        <w:spacing w:line="360" w:lineRule="auto"/>
        <w:ind w:firstLine="560"/>
        <w:rPr>
          <w:sz w:val="28"/>
          <w:szCs w:val="28"/>
          <w:lang w:eastAsia="zh-CN"/>
        </w:rPr>
      </w:pPr>
      <w:bookmarkStart w:id="32" w:name="_Toc14041"/>
      <w:bookmarkStart w:id="33" w:name="_Toc26924"/>
      <w:bookmarkStart w:id="34" w:name="_Hlk535521398"/>
      <w:bookmarkStart w:id="35" w:name="_Toc820"/>
      <w:r>
        <w:rPr>
          <w:sz w:val="28"/>
          <w:szCs w:val="28"/>
          <w:lang w:eastAsia="zh-CN"/>
        </w:rPr>
        <w:t>本文件编制坚持</w:t>
      </w:r>
      <w:r>
        <w:rPr>
          <w:rFonts w:hint="eastAsia"/>
          <w:sz w:val="28"/>
          <w:szCs w:val="28"/>
          <w:lang w:eastAsia="zh-CN"/>
        </w:rPr>
        <w:t>、安全可靠、经济适用</w:t>
      </w:r>
      <w:r>
        <w:rPr>
          <w:sz w:val="28"/>
          <w:szCs w:val="28"/>
          <w:lang w:eastAsia="zh-CN"/>
        </w:rPr>
        <w:t>等原则。</w:t>
      </w:r>
    </w:p>
    <w:p w14:paraId="09220BF0">
      <w:pPr>
        <w:adjustRightInd w:val="0"/>
        <w:snapToGrid w:val="0"/>
        <w:spacing w:line="360" w:lineRule="auto"/>
        <w:ind w:firstLine="560"/>
        <w:rPr>
          <w:sz w:val="28"/>
          <w:szCs w:val="28"/>
          <w:lang w:eastAsia="zh-CN"/>
        </w:rPr>
      </w:pPr>
      <w:r>
        <w:rPr>
          <w:sz w:val="28"/>
          <w:szCs w:val="28"/>
          <w:lang w:eastAsia="zh-CN"/>
        </w:rPr>
        <w:t>（1）</w:t>
      </w:r>
      <w:r>
        <w:rPr>
          <w:rFonts w:hint="eastAsia"/>
          <w:sz w:val="28"/>
          <w:szCs w:val="28"/>
          <w:lang w:eastAsia="zh-CN"/>
        </w:rPr>
        <w:t>标本兼治</w:t>
      </w:r>
    </w:p>
    <w:p w14:paraId="6F6B13A7">
      <w:pPr>
        <w:adjustRightInd w:val="0"/>
        <w:snapToGrid w:val="0"/>
        <w:spacing w:line="360" w:lineRule="auto"/>
        <w:ind w:firstLine="560"/>
        <w:rPr>
          <w:sz w:val="28"/>
          <w:szCs w:val="28"/>
          <w:lang w:eastAsia="zh-CN"/>
        </w:rPr>
      </w:pPr>
      <w:r>
        <w:rPr>
          <w:rFonts w:hint="eastAsia"/>
          <w:sz w:val="28"/>
          <w:szCs w:val="28"/>
          <w:lang w:eastAsia="zh-CN"/>
        </w:rPr>
        <w:t>指南</w:t>
      </w:r>
      <w:r>
        <w:rPr>
          <w:sz w:val="28"/>
          <w:szCs w:val="28"/>
          <w:lang w:eastAsia="zh-CN"/>
        </w:rPr>
        <w:t>规定了</w:t>
      </w:r>
      <w:r>
        <w:rPr>
          <w:rFonts w:hint="eastAsia"/>
          <w:sz w:val="28"/>
          <w:szCs w:val="28"/>
          <w:lang w:val="en-US" w:eastAsia="zh-CN"/>
        </w:rPr>
        <w:t>水质改善</w:t>
      </w:r>
      <w:r>
        <w:rPr>
          <w:sz w:val="28"/>
          <w:szCs w:val="28"/>
          <w:lang w:eastAsia="zh-CN"/>
        </w:rPr>
        <w:t>方面的技术要求</w:t>
      </w:r>
      <w:r>
        <w:rPr>
          <w:rFonts w:hint="eastAsia"/>
          <w:sz w:val="28"/>
          <w:szCs w:val="28"/>
          <w:lang w:eastAsia="zh-CN"/>
        </w:rPr>
        <w:t>，</w:t>
      </w:r>
      <w:r>
        <w:rPr>
          <w:sz w:val="28"/>
          <w:szCs w:val="28"/>
          <w:lang w:eastAsia="zh-CN"/>
        </w:rPr>
        <w:t>从</w:t>
      </w:r>
      <w:r>
        <w:rPr>
          <w:rFonts w:hint="eastAsia"/>
          <w:sz w:val="28"/>
          <w:szCs w:val="28"/>
          <w:lang w:eastAsia="zh-CN"/>
        </w:rPr>
        <w:t>湖库</w:t>
      </w:r>
      <w:r>
        <w:rPr>
          <w:rFonts w:hint="eastAsia"/>
          <w:sz w:val="28"/>
          <w:szCs w:val="28"/>
          <w:lang w:val="en-US" w:eastAsia="zh-CN"/>
        </w:rPr>
        <w:t>水质改善</w:t>
      </w:r>
      <w:r>
        <w:rPr>
          <w:sz w:val="28"/>
          <w:szCs w:val="28"/>
          <w:lang w:eastAsia="zh-CN"/>
        </w:rPr>
        <w:t>整体视角综合考虑</w:t>
      </w:r>
      <w:r>
        <w:rPr>
          <w:rFonts w:hint="eastAsia"/>
          <w:sz w:val="28"/>
          <w:szCs w:val="28"/>
          <w:lang w:eastAsia="zh-CN"/>
        </w:rPr>
        <w:t>标本兼治</w:t>
      </w:r>
      <w:r>
        <w:rPr>
          <w:sz w:val="28"/>
          <w:szCs w:val="28"/>
          <w:lang w:eastAsia="zh-CN"/>
        </w:rPr>
        <w:t>。</w:t>
      </w:r>
    </w:p>
    <w:p w14:paraId="05A7C602">
      <w:pPr>
        <w:adjustRightInd w:val="0"/>
        <w:snapToGrid w:val="0"/>
        <w:spacing w:line="360" w:lineRule="auto"/>
        <w:ind w:firstLine="560"/>
        <w:rPr>
          <w:sz w:val="28"/>
          <w:szCs w:val="28"/>
          <w:lang w:eastAsia="zh-CN"/>
        </w:rPr>
      </w:pPr>
      <w:r>
        <w:rPr>
          <w:sz w:val="28"/>
          <w:szCs w:val="28"/>
          <w:lang w:eastAsia="zh-CN"/>
        </w:rPr>
        <w:t>（2）</w:t>
      </w:r>
      <w:r>
        <w:rPr>
          <w:rFonts w:hint="eastAsia"/>
          <w:sz w:val="28"/>
          <w:szCs w:val="28"/>
          <w:lang w:eastAsia="zh-CN"/>
        </w:rPr>
        <w:t>安全可靠</w:t>
      </w:r>
    </w:p>
    <w:p w14:paraId="1BE2B276">
      <w:pPr>
        <w:adjustRightInd w:val="0"/>
        <w:snapToGrid w:val="0"/>
        <w:spacing w:line="360" w:lineRule="auto"/>
        <w:ind w:firstLine="560"/>
        <w:rPr>
          <w:sz w:val="28"/>
          <w:szCs w:val="28"/>
          <w:lang w:eastAsia="zh-CN"/>
        </w:rPr>
      </w:pPr>
      <w:r>
        <w:rPr>
          <w:sz w:val="28"/>
          <w:szCs w:val="28"/>
          <w:lang w:eastAsia="zh-CN"/>
        </w:rPr>
        <w:t>针对江西省</w:t>
      </w:r>
      <w:r>
        <w:rPr>
          <w:rFonts w:hint="eastAsia"/>
          <w:sz w:val="28"/>
          <w:szCs w:val="28"/>
          <w:lang w:eastAsia="zh-CN"/>
        </w:rPr>
        <w:t>水域</w:t>
      </w:r>
      <w:r>
        <w:rPr>
          <w:sz w:val="28"/>
          <w:szCs w:val="28"/>
          <w:lang w:eastAsia="zh-CN"/>
        </w:rPr>
        <w:t>特点</w:t>
      </w:r>
      <w:r>
        <w:rPr>
          <w:rFonts w:hint="eastAsia"/>
          <w:sz w:val="28"/>
          <w:szCs w:val="28"/>
          <w:lang w:eastAsia="zh-CN"/>
        </w:rPr>
        <w:t>和生态安全</w:t>
      </w:r>
      <w:r>
        <w:rPr>
          <w:sz w:val="28"/>
          <w:szCs w:val="28"/>
          <w:lang w:eastAsia="zh-CN"/>
        </w:rPr>
        <w:t>，提出</w:t>
      </w:r>
      <w:r>
        <w:rPr>
          <w:rFonts w:hint="eastAsia"/>
          <w:sz w:val="28"/>
          <w:szCs w:val="28"/>
          <w:lang w:eastAsia="zh-CN"/>
        </w:rPr>
        <w:t>安全可靠</w:t>
      </w:r>
      <w:r>
        <w:rPr>
          <w:sz w:val="28"/>
          <w:szCs w:val="28"/>
          <w:lang w:eastAsia="zh-CN"/>
        </w:rPr>
        <w:t>的技术</w:t>
      </w:r>
      <w:r>
        <w:rPr>
          <w:rFonts w:hint="eastAsia"/>
          <w:sz w:val="28"/>
          <w:szCs w:val="28"/>
          <w:lang w:eastAsia="zh-CN"/>
        </w:rPr>
        <w:t>措施</w:t>
      </w:r>
      <w:r>
        <w:rPr>
          <w:sz w:val="28"/>
          <w:szCs w:val="28"/>
          <w:lang w:eastAsia="zh-CN"/>
        </w:rPr>
        <w:t>。</w:t>
      </w:r>
    </w:p>
    <w:p w14:paraId="0BE91A59">
      <w:pPr>
        <w:adjustRightInd w:val="0"/>
        <w:snapToGrid w:val="0"/>
        <w:spacing w:line="360" w:lineRule="auto"/>
        <w:ind w:firstLine="560"/>
        <w:rPr>
          <w:sz w:val="28"/>
          <w:szCs w:val="28"/>
          <w:lang w:eastAsia="zh-CN"/>
        </w:rPr>
      </w:pPr>
      <w:r>
        <w:rPr>
          <w:sz w:val="28"/>
          <w:szCs w:val="28"/>
          <w:lang w:eastAsia="zh-CN"/>
        </w:rPr>
        <w:t>（3）</w:t>
      </w:r>
      <w:r>
        <w:rPr>
          <w:rFonts w:hint="eastAsia"/>
          <w:sz w:val="28"/>
          <w:szCs w:val="28"/>
          <w:lang w:eastAsia="zh-CN"/>
        </w:rPr>
        <w:t>经济适用</w:t>
      </w:r>
    </w:p>
    <w:p w14:paraId="36E26980">
      <w:pPr>
        <w:adjustRightInd w:val="0"/>
        <w:snapToGrid w:val="0"/>
        <w:spacing w:line="360" w:lineRule="auto"/>
        <w:ind w:firstLine="560"/>
        <w:rPr>
          <w:sz w:val="28"/>
          <w:szCs w:val="28"/>
          <w:lang w:eastAsia="zh-CN"/>
        </w:rPr>
      </w:pPr>
      <w:r>
        <w:rPr>
          <w:sz w:val="28"/>
          <w:szCs w:val="28"/>
          <w:lang w:eastAsia="zh-CN"/>
        </w:rPr>
        <w:t>将以当前及未来一定时间内江西省的</w:t>
      </w:r>
      <w:r>
        <w:rPr>
          <w:rFonts w:hint="eastAsia"/>
          <w:sz w:val="28"/>
          <w:szCs w:val="28"/>
          <w:lang w:val="en-US" w:eastAsia="zh-CN"/>
        </w:rPr>
        <w:t>水质改善</w:t>
      </w:r>
      <w:r>
        <w:rPr>
          <w:sz w:val="28"/>
          <w:szCs w:val="28"/>
          <w:lang w:eastAsia="zh-CN"/>
        </w:rPr>
        <w:t>需求为基础，充分考虑现阶段</w:t>
      </w:r>
      <w:r>
        <w:rPr>
          <w:rFonts w:hint="eastAsia"/>
          <w:sz w:val="28"/>
          <w:szCs w:val="28"/>
          <w:lang w:eastAsia="zh-CN"/>
        </w:rPr>
        <w:t>地方经济和修复</w:t>
      </w:r>
      <w:r>
        <w:rPr>
          <w:sz w:val="28"/>
          <w:szCs w:val="28"/>
          <w:lang w:eastAsia="zh-CN"/>
        </w:rPr>
        <w:t>技术发展水平，提出</w:t>
      </w:r>
      <w:r>
        <w:rPr>
          <w:rFonts w:hint="eastAsia"/>
          <w:sz w:val="28"/>
          <w:szCs w:val="28"/>
          <w:lang w:eastAsia="zh-CN"/>
        </w:rPr>
        <w:t>经济适用的</w:t>
      </w:r>
      <w:r>
        <w:rPr>
          <w:sz w:val="28"/>
          <w:szCs w:val="28"/>
          <w:lang w:eastAsia="zh-CN"/>
        </w:rPr>
        <w:t>的技术。</w:t>
      </w:r>
      <w:bookmarkStart w:id="36" w:name="_Hlk95465884"/>
    </w:p>
    <w:bookmarkEnd w:id="32"/>
    <w:bookmarkEnd w:id="33"/>
    <w:bookmarkEnd w:id="34"/>
    <w:bookmarkEnd w:id="35"/>
    <w:bookmarkEnd w:id="36"/>
    <w:p w14:paraId="77397BA1">
      <w:pPr>
        <w:pStyle w:val="2"/>
        <w:numPr>
          <w:ilvl w:val="0"/>
          <w:numId w:val="0"/>
        </w:numPr>
        <w:bidi w:val="0"/>
        <w:ind w:left="0" w:leftChars="0" w:firstLine="0" w:firstLineChars="0"/>
        <w:rPr>
          <w:rFonts w:hint="eastAsia" w:ascii="Times New Roman" w:hAnsi="Times New Roman" w:cs="Times New Roman"/>
          <w:lang w:eastAsia="zh-CN"/>
        </w:rPr>
      </w:pPr>
      <w:bookmarkStart w:id="37" w:name="_Toc20674"/>
      <w:r>
        <w:rPr>
          <w:rFonts w:hint="eastAsia" w:ascii="Times New Roman" w:hAnsi="Times New Roman" w:eastAsia="黑体" w:cs="Times New Roman"/>
          <w:sz w:val="32"/>
          <w:szCs w:val="28"/>
          <w:lang w:val="en-US" w:eastAsia="zh-CN" w:bidi="ar-SA"/>
        </w:rPr>
        <w:t>四、</w:t>
      </w:r>
      <w:r>
        <w:rPr>
          <w:rFonts w:hint="eastAsia" w:ascii="Times New Roman" w:hAnsi="Times New Roman" w:cs="Times New Roman"/>
          <w:lang w:eastAsia="zh-CN"/>
        </w:rPr>
        <w:t>标准编制过程</w:t>
      </w:r>
      <w:bookmarkEnd w:id="37"/>
    </w:p>
    <w:p w14:paraId="7B9D8E31">
      <w:pPr>
        <w:adjustRightInd w:val="0"/>
        <w:snapToGrid w:val="0"/>
        <w:spacing w:line="360" w:lineRule="auto"/>
        <w:ind w:firstLine="560"/>
        <w:rPr>
          <w:color w:val="000000"/>
          <w:sz w:val="28"/>
          <w:szCs w:val="24"/>
          <w:lang w:eastAsia="zh-CN"/>
        </w:rPr>
      </w:pPr>
      <w:bookmarkStart w:id="38" w:name="4_行业产排污情况及污染控制技术分析"/>
      <w:bookmarkEnd w:id="38"/>
      <w:bookmarkStart w:id="39" w:name="3.1_国家及环保主管部门的相关要求"/>
      <w:bookmarkEnd w:id="39"/>
      <w:r>
        <w:rPr>
          <w:color w:val="000000"/>
          <w:sz w:val="28"/>
          <w:szCs w:val="24"/>
          <w:lang w:eastAsia="zh-CN"/>
        </w:rPr>
        <w:t>本</w:t>
      </w:r>
      <w:r>
        <w:rPr>
          <w:rFonts w:hint="eastAsia"/>
          <w:color w:val="000000"/>
          <w:sz w:val="28"/>
          <w:szCs w:val="24"/>
          <w:lang w:val="en-US" w:eastAsia="zh-CN"/>
        </w:rPr>
        <w:t>标准</w:t>
      </w:r>
      <w:r>
        <w:rPr>
          <w:color w:val="000000"/>
          <w:sz w:val="28"/>
          <w:szCs w:val="24"/>
          <w:lang w:eastAsia="zh-CN"/>
        </w:rPr>
        <w:t>编制主要采取政策制度分析、文献调研、案例分析、专家咨询和吸收公众意见等方法。首先进行资料分析，包括政策制度分析、文献调研、案例分析等，研究</w:t>
      </w:r>
      <w:r>
        <w:rPr>
          <w:rFonts w:hint="eastAsia"/>
          <w:color w:val="000000"/>
          <w:sz w:val="28"/>
          <w:szCs w:val="24"/>
          <w:lang w:eastAsia="zh-CN"/>
        </w:rPr>
        <w:t>标准</w:t>
      </w:r>
      <w:r>
        <w:rPr>
          <w:color w:val="000000"/>
          <w:sz w:val="28"/>
          <w:szCs w:val="24"/>
          <w:lang w:eastAsia="zh-CN"/>
        </w:rPr>
        <w:t>编制的必要性、编制要求、规范的主要内容等。通过资料分析，得出</w:t>
      </w:r>
      <w:r>
        <w:rPr>
          <w:rFonts w:hint="eastAsia"/>
          <w:color w:val="000000"/>
          <w:sz w:val="28"/>
          <w:szCs w:val="24"/>
          <w:lang w:eastAsia="zh-CN"/>
        </w:rPr>
        <w:t>标准</w:t>
      </w:r>
      <w:r>
        <w:rPr>
          <w:color w:val="000000"/>
          <w:sz w:val="28"/>
          <w:szCs w:val="24"/>
          <w:lang w:eastAsia="zh-CN"/>
        </w:rPr>
        <w:t>编制的重点。其次，撰写初稿文本，并依据情况，开展多轮的咨询论证，收集</w:t>
      </w:r>
      <w:r>
        <w:rPr>
          <w:rFonts w:hint="eastAsia"/>
          <w:color w:val="000000"/>
          <w:sz w:val="28"/>
          <w:szCs w:val="24"/>
          <w:lang w:eastAsia="zh-CN"/>
        </w:rPr>
        <w:t>科研院所</w:t>
      </w:r>
      <w:r>
        <w:rPr>
          <w:color w:val="000000"/>
          <w:sz w:val="28"/>
          <w:szCs w:val="24"/>
          <w:lang w:eastAsia="zh-CN"/>
        </w:rPr>
        <w:t>、高等院校等意见，不断修改和完善</w:t>
      </w:r>
      <w:r>
        <w:rPr>
          <w:rFonts w:hint="eastAsia"/>
          <w:color w:val="000000"/>
          <w:sz w:val="28"/>
          <w:szCs w:val="24"/>
          <w:lang w:eastAsia="zh-CN"/>
        </w:rPr>
        <w:t>标准</w:t>
      </w:r>
      <w:r>
        <w:rPr>
          <w:color w:val="000000"/>
          <w:sz w:val="28"/>
          <w:szCs w:val="24"/>
          <w:lang w:eastAsia="zh-CN"/>
        </w:rPr>
        <w:t>文本。然后，在</w:t>
      </w:r>
      <w:r>
        <w:rPr>
          <w:rFonts w:hint="eastAsia"/>
          <w:color w:val="000000"/>
          <w:sz w:val="28"/>
          <w:szCs w:val="24"/>
          <w:lang w:eastAsia="zh-CN"/>
        </w:rPr>
        <w:t>标准</w:t>
      </w:r>
      <w:r>
        <w:rPr>
          <w:color w:val="000000"/>
          <w:sz w:val="28"/>
          <w:szCs w:val="24"/>
          <w:lang w:eastAsia="zh-CN"/>
        </w:rPr>
        <w:t>修订稿成熟后，通过正式的程序，向社会公开征求意见。在吸收公开意见的基础上，再次修改和完善</w:t>
      </w:r>
      <w:r>
        <w:rPr>
          <w:rFonts w:hint="eastAsia"/>
          <w:color w:val="000000"/>
          <w:sz w:val="28"/>
          <w:szCs w:val="24"/>
          <w:lang w:eastAsia="zh-CN"/>
        </w:rPr>
        <w:t>标准</w:t>
      </w:r>
      <w:r>
        <w:rPr>
          <w:color w:val="000000"/>
          <w:sz w:val="28"/>
          <w:szCs w:val="24"/>
          <w:lang w:eastAsia="zh-CN"/>
        </w:rPr>
        <w:t>。</w:t>
      </w:r>
    </w:p>
    <w:p w14:paraId="41A357B5">
      <w:pPr>
        <w:adjustRightInd w:val="0"/>
        <w:snapToGrid w:val="0"/>
        <w:spacing w:line="360" w:lineRule="auto"/>
        <w:ind w:firstLine="560"/>
        <w:rPr>
          <w:sz w:val="22"/>
          <w:szCs w:val="24"/>
          <w:lang w:eastAsia="zh-CN"/>
        </w:rPr>
      </w:pPr>
      <w:r>
        <w:rPr>
          <w:sz w:val="28"/>
          <w:szCs w:val="24"/>
          <w:lang w:eastAsia="zh-CN"/>
        </w:rPr>
        <w:t>标准编制的主要工作过程及具体工作内容等如下表所示：</w:t>
      </w:r>
    </w:p>
    <w:p w14:paraId="600F14CF">
      <w:pPr>
        <w:adjustRightInd w:val="0"/>
        <w:snapToGrid w:val="0"/>
        <w:spacing w:line="360" w:lineRule="auto"/>
        <w:ind w:firstLine="0" w:firstLineChars="0"/>
        <w:jc w:val="center"/>
        <w:rPr>
          <w:szCs w:val="32"/>
        </w:rPr>
      </w:pPr>
      <w:r>
        <w:rPr>
          <w:szCs w:val="32"/>
        </w:rPr>
        <w:t>表1 标准编制计划安排</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826"/>
        <w:gridCol w:w="5293"/>
      </w:tblGrid>
      <w:tr w14:paraId="4C4F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blHeader/>
          <w:jc w:val="center"/>
        </w:trPr>
        <w:tc>
          <w:tcPr>
            <w:tcW w:w="823" w:type="pct"/>
            <w:vAlign w:val="center"/>
          </w:tcPr>
          <w:p w14:paraId="6E88AF60">
            <w:pPr>
              <w:adjustRightInd w:val="0"/>
              <w:snapToGrid w:val="0"/>
              <w:spacing w:line="240" w:lineRule="auto"/>
              <w:ind w:firstLine="0" w:firstLineChars="0"/>
              <w:jc w:val="center"/>
              <w:rPr>
                <w:b/>
                <w:szCs w:val="24"/>
              </w:rPr>
            </w:pPr>
            <w:r>
              <w:rPr>
                <w:b/>
                <w:szCs w:val="24"/>
              </w:rPr>
              <w:t>时间节点</w:t>
            </w:r>
          </w:p>
        </w:tc>
        <w:tc>
          <w:tcPr>
            <w:tcW w:w="1071" w:type="pct"/>
            <w:vAlign w:val="center"/>
          </w:tcPr>
          <w:p w14:paraId="54551063">
            <w:pPr>
              <w:adjustRightInd w:val="0"/>
              <w:snapToGrid w:val="0"/>
              <w:spacing w:line="240" w:lineRule="auto"/>
              <w:ind w:firstLine="0" w:firstLineChars="0"/>
              <w:jc w:val="center"/>
              <w:rPr>
                <w:b/>
                <w:szCs w:val="24"/>
              </w:rPr>
            </w:pPr>
            <w:r>
              <w:rPr>
                <w:b/>
                <w:szCs w:val="24"/>
              </w:rPr>
              <w:t>阶段工作</w:t>
            </w:r>
          </w:p>
        </w:tc>
        <w:tc>
          <w:tcPr>
            <w:tcW w:w="3105" w:type="pct"/>
            <w:vAlign w:val="center"/>
          </w:tcPr>
          <w:p w14:paraId="22DDDE6E">
            <w:pPr>
              <w:adjustRightInd w:val="0"/>
              <w:snapToGrid w:val="0"/>
              <w:spacing w:line="240" w:lineRule="auto"/>
              <w:ind w:firstLine="0" w:firstLineChars="0"/>
              <w:jc w:val="center"/>
              <w:rPr>
                <w:b/>
                <w:szCs w:val="24"/>
              </w:rPr>
            </w:pPr>
            <w:r>
              <w:rPr>
                <w:b/>
                <w:szCs w:val="24"/>
              </w:rPr>
              <w:t>具体工作内容</w:t>
            </w:r>
          </w:p>
        </w:tc>
      </w:tr>
      <w:tr w14:paraId="33E9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474B7B64">
            <w:pPr>
              <w:adjustRightInd w:val="0"/>
              <w:snapToGrid w:val="0"/>
              <w:spacing w:line="240" w:lineRule="auto"/>
              <w:ind w:firstLine="0" w:firstLineChars="0"/>
              <w:jc w:val="center"/>
              <w:rPr>
                <w:szCs w:val="24"/>
              </w:rPr>
            </w:pPr>
            <w:r>
              <w:rPr>
                <w:szCs w:val="24"/>
              </w:rPr>
              <w:t>2021.10</w:t>
            </w:r>
          </w:p>
        </w:tc>
        <w:tc>
          <w:tcPr>
            <w:tcW w:w="1071" w:type="pct"/>
            <w:vAlign w:val="center"/>
          </w:tcPr>
          <w:p w14:paraId="3D6DAD61">
            <w:pPr>
              <w:adjustRightInd w:val="0"/>
              <w:snapToGrid w:val="0"/>
              <w:spacing w:line="240" w:lineRule="auto"/>
              <w:ind w:firstLine="0" w:firstLineChars="0"/>
              <w:jc w:val="center"/>
              <w:rPr>
                <w:szCs w:val="24"/>
              </w:rPr>
            </w:pPr>
            <w:r>
              <w:rPr>
                <w:szCs w:val="24"/>
              </w:rPr>
              <w:t>申请立项</w:t>
            </w:r>
          </w:p>
        </w:tc>
        <w:tc>
          <w:tcPr>
            <w:tcW w:w="3105" w:type="pct"/>
            <w:vAlign w:val="center"/>
          </w:tcPr>
          <w:p w14:paraId="7D7E39F2">
            <w:pPr>
              <w:adjustRightInd w:val="0"/>
              <w:snapToGrid w:val="0"/>
              <w:spacing w:line="240" w:lineRule="auto"/>
              <w:ind w:firstLine="0" w:firstLineChars="0"/>
              <w:rPr>
                <w:szCs w:val="24"/>
                <w:lang w:eastAsia="zh-CN"/>
              </w:rPr>
            </w:pPr>
            <w:r>
              <w:rPr>
                <w:szCs w:val="24"/>
                <w:lang w:eastAsia="zh-CN"/>
              </w:rPr>
              <w:t>提交地方标准项目建议书和草案。</w:t>
            </w:r>
          </w:p>
        </w:tc>
      </w:tr>
      <w:tr w14:paraId="751C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1CC34C1B">
            <w:pPr>
              <w:adjustRightInd w:val="0"/>
              <w:snapToGrid w:val="0"/>
              <w:spacing w:line="240" w:lineRule="auto"/>
              <w:ind w:firstLine="0" w:firstLineChars="0"/>
              <w:jc w:val="center"/>
              <w:rPr>
                <w:szCs w:val="24"/>
              </w:rPr>
            </w:pPr>
            <w:r>
              <w:rPr>
                <w:szCs w:val="24"/>
              </w:rPr>
              <w:t>20</w:t>
            </w:r>
            <w:r>
              <w:rPr>
                <w:szCs w:val="24"/>
                <w:lang w:eastAsia="zh-CN"/>
              </w:rPr>
              <w:t>22</w:t>
            </w:r>
            <w:r>
              <w:rPr>
                <w:szCs w:val="24"/>
              </w:rPr>
              <w:t>.</w:t>
            </w:r>
            <w:r>
              <w:rPr>
                <w:rFonts w:hint="eastAsia"/>
                <w:szCs w:val="24"/>
                <w:lang w:val="en-US" w:eastAsia="zh-CN"/>
              </w:rPr>
              <w:t>04</w:t>
            </w:r>
          </w:p>
        </w:tc>
        <w:tc>
          <w:tcPr>
            <w:tcW w:w="1071" w:type="pct"/>
            <w:vAlign w:val="center"/>
          </w:tcPr>
          <w:p w14:paraId="0551A36B">
            <w:pPr>
              <w:adjustRightInd w:val="0"/>
              <w:snapToGrid w:val="0"/>
              <w:spacing w:line="240" w:lineRule="auto"/>
              <w:ind w:firstLine="0" w:firstLineChars="0"/>
              <w:jc w:val="center"/>
              <w:rPr>
                <w:szCs w:val="24"/>
              </w:rPr>
            </w:pPr>
            <w:r>
              <w:rPr>
                <w:szCs w:val="24"/>
              </w:rPr>
              <w:t>立项下达</w:t>
            </w:r>
          </w:p>
        </w:tc>
        <w:tc>
          <w:tcPr>
            <w:tcW w:w="3105" w:type="pct"/>
            <w:vAlign w:val="center"/>
          </w:tcPr>
          <w:p w14:paraId="620C4C94">
            <w:pPr>
              <w:adjustRightInd w:val="0"/>
              <w:snapToGrid w:val="0"/>
              <w:spacing w:line="240" w:lineRule="auto"/>
              <w:ind w:firstLine="0" w:firstLineChars="0"/>
              <w:rPr>
                <w:szCs w:val="24"/>
              </w:rPr>
            </w:pPr>
            <w:r>
              <w:rPr>
                <w:rFonts w:hint="eastAsia"/>
                <w:szCs w:val="24"/>
                <w:lang w:eastAsia="zh-CN"/>
              </w:rPr>
              <w:t>指南</w:t>
            </w:r>
            <w:r>
              <w:rPr>
                <w:szCs w:val="24"/>
              </w:rPr>
              <w:t>计划下达</w:t>
            </w:r>
            <w:r>
              <w:rPr>
                <w:szCs w:val="24"/>
                <w:lang w:eastAsia="zh-CN"/>
              </w:rPr>
              <w:t>。</w:t>
            </w:r>
          </w:p>
        </w:tc>
      </w:tr>
      <w:tr w14:paraId="18D2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5781BE37">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2022.05</w:t>
            </w:r>
          </w:p>
        </w:tc>
        <w:tc>
          <w:tcPr>
            <w:tcW w:w="1071" w:type="pct"/>
            <w:vAlign w:val="center"/>
          </w:tcPr>
          <w:p w14:paraId="4AC56FD9">
            <w:pPr>
              <w:adjustRightInd w:val="0"/>
              <w:snapToGrid w:val="0"/>
              <w:spacing w:line="240" w:lineRule="auto"/>
              <w:ind w:firstLine="0" w:firstLineChars="0"/>
              <w:jc w:val="center"/>
              <w:rPr>
                <w:szCs w:val="24"/>
              </w:rPr>
            </w:pPr>
            <w:r>
              <w:rPr>
                <w:rFonts w:hint="eastAsia"/>
                <w:szCs w:val="24"/>
                <w:lang w:val="en-US" w:eastAsia="zh-CN"/>
              </w:rPr>
              <w:t>指南（初稿）编制</w:t>
            </w:r>
          </w:p>
        </w:tc>
        <w:tc>
          <w:tcPr>
            <w:tcW w:w="3105" w:type="pct"/>
            <w:vAlign w:val="center"/>
          </w:tcPr>
          <w:p w14:paraId="118C1C74">
            <w:pPr>
              <w:adjustRightInd w:val="0"/>
              <w:snapToGrid w:val="0"/>
              <w:spacing w:line="240" w:lineRule="auto"/>
              <w:ind w:firstLine="0" w:firstLineChars="0"/>
              <w:rPr>
                <w:rFonts w:hint="eastAsia"/>
                <w:szCs w:val="24"/>
                <w:lang w:eastAsia="zh-CN"/>
              </w:rPr>
            </w:pPr>
            <w:r>
              <w:rPr>
                <w:szCs w:val="24"/>
                <w:lang w:eastAsia="zh-CN"/>
              </w:rPr>
              <w:t>收集国内外相关</w:t>
            </w:r>
            <w:r>
              <w:rPr>
                <w:rFonts w:hint="eastAsia"/>
                <w:szCs w:val="24"/>
                <w:lang w:eastAsia="zh-CN"/>
              </w:rPr>
              <w:t>指南</w:t>
            </w:r>
            <w:r>
              <w:rPr>
                <w:szCs w:val="24"/>
                <w:lang w:eastAsia="zh-CN"/>
              </w:rPr>
              <w:t>资料及相关科研成果，国内外应用现状及相关经验总结，存在问题及解决办法，对</w:t>
            </w:r>
            <w:r>
              <w:rPr>
                <w:rFonts w:hint="eastAsia"/>
                <w:szCs w:val="24"/>
                <w:lang w:eastAsia="zh-CN"/>
              </w:rPr>
              <w:t>指南</w:t>
            </w:r>
            <w:r>
              <w:rPr>
                <w:szCs w:val="24"/>
                <w:lang w:eastAsia="zh-CN"/>
              </w:rPr>
              <w:t>中的关键问题或难点问题进行调查研究，为确定</w:t>
            </w:r>
            <w:r>
              <w:rPr>
                <w:rFonts w:hint="eastAsia"/>
                <w:szCs w:val="24"/>
                <w:lang w:eastAsia="zh-CN"/>
              </w:rPr>
              <w:t>指南</w:t>
            </w:r>
            <w:r>
              <w:rPr>
                <w:szCs w:val="24"/>
                <w:lang w:eastAsia="zh-CN"/>
              </w:rPr>
              <w:t>内容提供依据。</w:t>
            </w:r>
            <w:r>
              <w:rPr>
                <w:rFonts w:hint="eastAsia"/>
                <w:szCs w:val="24"/>
                <w:lang w:eastAsia="zh-CN"/>
              </w:rPr>
              <w:t>编制了四项指南和编制说明（</w:t>
            </w:r>
            <w:r>
              <w:rPr>
                <w:rFonts w:hint="eastAsia"/>
                <w:szCs w:val="24"/>
                <w:lang w:val="en-US" w:eastAsia="zh-CN"/>
              </w:rPr>
              <w:t>初</w:t>
            </w:r>
            <w:r>
              <w:rPr>
                <w:rFonts w:hint="eastAsia"/>
                <w:szCs w:val="24"/>
                <w:lang w:eastAsia="zh-CN"/>
              </w:rPr>
              <w:t>稿）</w:t>
            </w:r>
          </w:p>
        </w:tc>
      </w:tr>
      <w:tr w14:paraId="1F26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FDF6E6F">
            <w:pPr>
              <w:adjustRightInd w:val="0"/>
              <w:snapToGrid w:val="0"/>
              <w:spacing w:line="240" w:lineRule="auto"/>
              <w:ind w:firstLine="0" w:firstLineChars="0"/>
              <w:jc w:val="center"/>
              <w:rPr>
                <w:rFonts w:hint="default"/>
                <w:szCs w:val="24"/>
                <w:lang w:val="en-US"/>
              </w:rPr>
            </w:pPr>
            <w:r>
              <w:rPr>
                <w:szCs w:val="24"/>
              </w:rPr>
              <w:t>20</w:t>
            </w:r>
            <w:r>
              <w:rPr>
                <w:szCs w:val="24"/>
                <w:lang w:eastAsia="zh-CN"/>
              </w:rPr>
              <w:t>22</w:t>
            </w:r>
            <w:r>
              <w:rPr>
                <w:szCs w:val="24"/>
              </w:rPr>
              <w:t>.</w:t>
            </w:r>
            <w:r>
              <w:rPr>
                <w:rFonts w:hint="eastAsia"/>
                <w:szCs w:val="24"/>
                <w:lang w:val="en-US" w:eastAsia="zh-CN"/>
              </w:rPr>
              <w:t>11</w:t>
            </w:r>
          </w:p>
        </w:tc>
        <w:tc>
          <w:tcPr>
            <w:tcW w:w="1071" w:type="pct"/>
            <w:vAlign w:val="center"/>
          </w:tcPr>
          <w:p w14:paraId="20B43D3C">
            <w:pPr>
              <w:adjustRightInd w:val="0"/>
              <w:snapToGrid w:val="0"/>
              <w:spacing w:line="240" w:lineRule="auto"/>
              <w:ind w:firstLine="0" w:firstLineChars="0"/>
              <w:jc w:val="center"/>
              <w:rPr>
                <w:szCs w:val="24"/>
              </w:rPr>
            </w:pPr>
            <w:r>
              <w:rPr>
                <w:szCs w:val="24"/>
              </w:rPr>
              <w:t>专家研讨会</w:t>
            </w:r>
          </w:p>
        </w:tc>
        <w:tc>
          <w:tcPr>
            <w:tcW w:w="3105" w:type="pct"/>
            <w:vAlign w:val="center"/>
          </w:tcPr>
          <w:p w14:paraId="4F9FD232">
            <w:pPr>
              <w:adjustRightInd w:val="0"/>
              <w:snapToGrid w:val="0"/>
              <w:spacing w:line="240" w:lineRule="auto"/>
              <w:ind w:firstLine="0" w:firstLineChars="0"/>
              <w:rPr>
                <w:szCs w:val="24"/>
                <w:lang w:eastAsia="zh-CN"/>
              </w:rPr>
            </w:pPr>
            <w:r>
              <w:rPr>
                <w:szCs w:val="24"/>
                <w:lang w:eastAsia="zh-CN"/>
              </w:rPr>
              <w:t>组织专家研讨会，邀请专家对</w:t>
            </w:r>
            <w:r>
              <w:rPr>
                <w:rFonts w:hint="eastAsia"/>
                <w:szCs w:val="24"/>
                <w:lang w:eastAsia="zh-CN"/>
              </w:rPr>
              <w:t>指南</w:t>
            </w:r>
            <w:r>
              <w:rPr>
                <w:szCs w:val="24"/>
                <w:lang w:eastAsia="zh-CN"/>
              </w:rPr>
              <w:t>文本和编制说明进行审核</w:t>
            </w:r>
            <w:r>
              <w:rPr>
                <w:rFonts w:hint="eastAsia"/>
                <w:szCs w:val="24"/>
                <w:lang w:eastAsia="zh-CN"/>
              </w:rPr>
              <w:t>。</w:t>
            </w:r>
          </w:p>
        </w:tc>
      </w:tr>
      <w:tr w14:paraId="4F9D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B2C10CE">
            <w:pPr>
              <w:adjustRightInd w:val="0"/>
              <w:snapToGrid w:val="0"/>
              <w:spacing w:line="240" w:lineRule="auto"/>
              <w:ind w:firstLine="0" w:firstLineChars="0"/>
              <w:jc w:val="center"/>
              <w:rPr>
                <w:szCs w:val="24"/>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01</w:t>
            </w:r>
          </w:p>
        </w:tc>
        <w:tc>
          <w:tcPr>
            <w:tcW w:w="1071" w:type="pct"/>
            <w:vAlign w:val="center"/>
          </w:tcPr>
          <w:p w14:paraId="22AA5F7B">
            <w:pPr>
              <w:adjustRightInd w:val="0"/>
              <w:snapToGrid w:val="0"/>
              <w:spacing w:line="240" w:lineRule="auto"/>
              <w:ind w:firstLine="0" w:firstLineChars="0"/>
              <w:jc w:val="center"/>
              <w:rPr>
                <w:szCs w:val="24"/>
              </w:rPr>
            </w:pPr>
            <w:r>
              <w:rPr>
                <w:rFonts w:hint="eastAsia"/>
                <w:szCs w:val="24"/>
                <w:lang w:val="en-US" w:eastAsia="zh-CN"/>
              </w:rPr>
              <w:t>指南（征求意见稿）编制</w:t>
            </w:r>
          </w:p>
        </w:tc>
        <w:tc>
          <w:tcPr>
            <w:tcW w:w="3105" w:type="pct"/>
            <w:vAlign w:val="center"/>
          </w:tcPr>
          <w:p w14:paraId="52A4F003">
            <w:pPr>
              <w:adjustRightInd w:val="0"/>
              <w:snapToGrid w:val="0"/>
              <w:spacing w:line="240" w:lineRule="auto"/>
              <w:ind w:firstLine="0" w:firstLineChars="0"/>
              <w:rPr>
                <w:szCs w:val="24"/>
                <w:lang w:eastAsia="zh-CN"/>
              </w:rPr>
            </w:pPr>
            <w:r>
              <w:rPr>
                <w:szCs w:val="24"/>
                <w:lang w:eastAsia="zh-CN"/>
              </w:rPr>
              <w:t>根据专家意见修改文本和编制说明，形成征求意见稿。</w:t>
            </w:r>
          </w:p>
        </w:tc>
      </w:tr>
      <w:tr w14:paraId="7D15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2766A20B">
            <w:pPr>
              <w:adjustRightInd w:val="0"/>
              <w:snapToGrid w:val="0"/>
              <w:spacing w:line="240" w:lineRule="auto"/>
              <w:ind w:firstLine="0" w:firstLineChars="0"/>
              <w:jc w:val="center"/>
              <w:rPr>
                <w:rFonts w:hint="default"/>
                <w:szCs w:val="24"/>
                <w:lang w:val="en-US"/>
              </w:rPr>
            </w:pPr>
            <w:r>
              <w:rPr>
                <w:szCs w:val="24"/>
              </w:rPr>
              <w:t>20</w:t>
            </w:r>
            <w:r>
              <w:rPr>
                <w:szCs w:val="24"/>
                <w:lang w:eastAsia="zh-CN"/>
              </w:rPr>
              <w:t>2</w:t>
            </w:r>
            <w:r>
              <w:rPr>
                <w:rFonts w:hint="eastAsia"/>
                <w:szCs w:val="24"/>
                <w:lang w:val="en-US" w:eastAsia="zh-CN"/>
              </w:rPr>
              <w:t>3</w:t>
            </w:r>
            <w:r>
              <w:rPr>
                <w:szCs w:val="24"/>
              </w:rPr>
              <w:t>.</w:t>
            </w:r>
            <w:r>
              <w:rPr>
                <w:rFonts w:hint="eastAsia"/>
                <w:szCs w:val="24"/>
                <w:lang w:val="en-US" w:eastAsia="zh-CN"/>
              </w:rPr>
              <w:t>0</w:t>
            </w:r>
            <w:r>
              <w:rPr>
                <w:szCs w:val="24"/>
                <w:lang w:eastAsia="zh-CN"/>
              </w:rPr>
              <w:t>4</w:t>
            </w:r>
          </w:p>
        </w:tc>
        <w:tc>
          <w:tcPr>
            <w:tcW w:w="1071" w:type="pct"/>
            <w:vAlign w:val="center"/>
          </w:tcPr>
          <w:p w14:paraId="068DA2C0">
            <w:pPr>
              <w:adjustRightInd w:val="0"/>
              <w:snapToGrid w:val="0"/>
              <w:spacing w:line="240" w:lineRule="auto"/>
              <w:ind w:firstLine="0" w:firstLineChars="0"/>
              <w:jc w:val="center"/>
              <w:rPr>
                <w:szCs w:val="24"/>
              </w:rPr>
            </w:pPr>
            <w:r>
              <w:rPr>
                <w:szCs w:val="24"/>
              </w:rPr>
              <w:t>征求意见</w:t>
            </w:r>
          </w:p>
        </w:tc>
        <w:tc>
          <w:tcPr>
            <w:tcW w:w="3105" w:type="pct"/>
            <w:vAlign w:val="center"/>
          </w:tcPr>
          <w:p w14:paraId="563B5AF5">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文本和编制说明发送</w:t>
            </w:r>
            <w:r>
              <w:rPr>
                <w:rFonts w:hint="eastAsia"/>
                <w:szCs w:val="24"/>
                <w:lang w:eastAsia="zh-CN"/>
              </w:rPr>
              <w:t>生态环境部水司、</w:t>
            </w:r>
            <w:r>
              <w:rPr>
                <w:rFonts w:hint="eastAsia"/>
                <w:szCs w:val="24"/>
                <w:lang w:val="en-US" w:eastAsia="zh-CN"/>
              </w:rPr>
              <w:t>省内</w:t>
            </w:r>
            <w:r>
              <w:rPr>
                <w:szCs w:val="24"/>
                <w:lang w:eastAsia="zh-CN"/>
              </w:rPr>
              <w:t>各有关部门（省直单位、高等院校、相关专业公司等）征求意见。</w:t>
            </w:r>
          </w:p>
        </w:tc>
      </w:tr>
      <w:tr w14:paraId="6D0D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78488C9C">
            <w:pPr>
              <w:adjustRightInd w:val="0"/>
              <w:snapToGrid w:val="0"/>
              <w:spacing w:line="240" w:lineRule="auto"/>
              <w:ind w:firstLine="0" w:firstLineChars="0"/>
              <w:jc w:val="center"/>
              <w:rPr>
                <w:rFonts w:hint="default" w:eastAsia="宋体"/>
                <w:szCs w:val="24"/>
                <w:lang w:val="en-US" w:eastAsia="zh-CN"/>
              </w:rPr>
            </w:pPr>
            <w:r>
              <w:rPr>
                <w:rFonts w:hint="eastAsia"/>
                <w:szCs w:val="24"/>
                <w:lang w:val="en-US" w:eastAsia="zh-CN"/>
              </w:rPr>
              <w:t>2024.04</w:t>
            </w:r>
          </w:p>
        </w:tc>
        <w:tc>
          <w:tcPr>
            <w:tcW w:w="1071" w:type="pct"/>
            <w:vAlign w:val="center"/>
          </w:tcPr>
          <w:p w14:paraId="368A553D">
            <w:pPr>
              <w:adjustRightInd w:val="0"/>
              <w:snapToGrid w:val="0"/>
              <w:spacing w:line="240" w:lineRule="auto"/>
              <w:ind w:firstLine="0" w:firstLineChars="0"/>
              <w:jc w:val="center"/>
              <w:rPr>
                <w:rFonts w:ascii="Times New Roman" w:hAnsi="Times New Roman" w:eastAsia="宋体" w:cs="Times New Roman"/>
                <w:sz w:val="24"/>
                <w:szCs w:val="24"/>
                <w:lang w:val="en-US" w:eastAsia="en-US" w:bidi="ar-SA"/>
              </w:rPr>
            </w:pPr>
            <w:r>
              <w:rPr>
                <w:szCs w:val="24"/>
              </w:rPr>
              <w:t>意见汇总处理</w:t>
            </w:r>
          </w:p>
        </w:tc>
        <w:tc>
          <w:tcPr>
            <w:tcW w:w="3105" w:type="pct"/>
            <w:vAlign w:val="center"/>
          </w:tcPr>
          <w:p w14:paraId="0D286637">
            <w:pPr>
              <w:adjustRightInd w:val="0"/>
              <w:snapToGrid w:val="0"/>
              <w:spacing w:line="240" w:lineRule="auto"/>
              <w:ind w:firstLine="0" w:firstLineChars="0"/>
              <w:rPr>
                <w:rFonts w:ascii="Times New Roman" w:hAnsi="Times New Roman" w:eastAsia="宋体" w:cs="Times New Roman"/>
                <w:sz w:val="24"/>
                <w:szCs w:val="24"/>
                <w:lang w:val="en-US" w:eastAsia="zh-CN" w:bidi="ar-SA"/>
              </w:rPr>
            </w:pPr>
            <w:r>
              <w:rPr>
                <w:szCs w:val="24"/>
                <w:lang w:eastAsia="zh-CN"/>
              </w:rPr>
              <w:t>对征集意见进行收集、整理、汇总和处理；组织内部讨论会，修改文本和编制说明，处理意见汇总表。</w:t>
            </w:r>
          </w:p>
        </w:tc>
      </w:tr>
      <w:tr w14:paraId="5594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8902160">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05</w:t>
            </w:r>
          </w:p>
        </w:tc>
        <w:tc>
          <w:tcPr>
            <w:tcW w:w="1071" w:type="pct"/>
            <w:vAlign w:val="center"/>
          </w:tcPr>
          <w:p w14:paraId="121879F6">
            <w:pPr>
              <w:adjustRightInd w:val="0"/>
              <w:snapToGrid w:val="0"/>
              <w:spacing w:line="240" w:lineRule="auto"/>
              <w:ind w:firstLine="0" w:firstLineChars="0"/>
              <w:jc w:val="center"/>
              <w:rPr>
                <w:szCs w:val="24"/>
              </w:rPr>
            </w:pPr>
            <w:r>
              <w:rPr>
                <w:rFonts w:hint="eastAsia"/>
                <w:szCs w:val="24"/>
                <w:lang w:eastAsia="zh-CN"/>
              </w:rPr>
              <w:t>网上公示</w:t>
            </w:r>
          </w:p>
        </w:tc>
        <w:tc>
          <w:tcPr>
            <w:tcW w:w="3105" w:type="pct"/>
            <w:vAlign w:val="center"/>
          </w:tcPr>
          <w:p w14:paraId="7BAC1D3E">
            <w:pPr>
              <w:adjustRightInd w:val="0"/>
              <w:snapToGrid w:val="0"/>
              <w:spacing w:line="240" w:lineRule="auto"/>
              <w:ind w:firstLine="0" w:firstLineChars="0"/>
              <w:rPr>
                <w:szCs w:val="24"/>
                <w:lang w:eastAsia="zh-CN"/>
              </w:rPr>
            </w:pPr>
            <w:r>
              <w:rPr>
                <w:rFonts w:hint="eastAsia"/>
                <w:szCs w:val="24"/>
                <w:lang w:eastAsia="zh-CN"/>
              </w:rPr>
              <w:t>在网站上公示一个月，充分接受群众反馈意见。</w:t>
            </w:r>
          </w:p>
        </w:tc>
      </w:tr>
      <w:tr w14:paraId="2C9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04495203">
            <w:pPr>
              <w:adjustRightInd w:val="0"/>
              <w:snapToGrid w:val="0"/>
              <w:spacing w:line="240" w:lineRule="auto"/>
              <w:ind w:firstLine="0" w:firstLineChars="0"/>
              <w:jc w:val="center"/>
              <w:rPr>
                <w:szCs w:val="24"/>
                <w:lang w:eastAsia="zh-CN"/>
              </w:rPr>
            </w:pPr>
            <w:r>
              <w:rPr>
                <w:rFonts w:hint="eastAsia"/>
                <w:szCs w:val="24"/>
                <w:lang w:eastAsia="zh-CN"/>
              </w:rPr>
              <w:t>2</w:t>
            </w:r>
            <w:r>
              <w:rPr>
                <w:szCs w:val="24"/>
                <w:lang w:eastAsia="zh-CN"/>
              </w:rPr>
              <w:t>02</w:t>
            </w:r>
            <w:r>
              <w:rPr>
                <w:rFonts w:hint="eastAsia"/>
                <w:szCs w:val="24"/>
                <w:lang w:val="en-US" w:eastAsia="zh-CN"/>
              </w:rPr>
              <w:t>4</w:t>
            </w:r>
            <w:r>
              <w:rPr>
                <w:szCs w:val="24"/>
                <w:lang w:eastAsia="zh-CN"/>
              </w:rPr>
              <w:t>.</w:t>
            </w:r>
            <w:r>
              <w:rPr>
                <w:rFonts w:hint="eastAsia"/>
                <w:szCs w:val="24"/>
                <w:lang w:val="en-US" w:eastAsia="zh-CN"/>
              </w:rPr>
              <w:t>08</w:t>
            </w:r>
          </w:p>
        </w:tc>
        <w:tc>
          <w:tcPr>
            <w:tcW w:w="1071" w:type="pct"/>
            <w:vAlign w:val="center"/>
          </w:tcPr>
          <w:p w14:paraId="06E8112D">
            <w:pPr>
              <w:adjustRightInd w:val="0"/>
              <w:snapToGrid w:val="0"/>
              <w:spacing w:line="240" w:lineRule="auto"/>
              <w:ind w:firstLine="0" w:firstLineChars="0"/>
              <w:jc w:val="center"/>
              <w:rPr>
                <w:szCs w:val="24"/>
                <w:lang w:eastAsia="zh-CN"/>
              </w:rPr>
            </w:pPr>
            <w:r>
              <w:rPr>
                <w:rFonts w:hint="eastAsia"/>
                <w:szCs w:val="24"/>
                <w:lang w:eastAsia="zh-CN"/>
              </w:rPr>
              <w:t>再次</w:t>
            </w:r>
            <w:r>
              <w:rPr>
                <w:szCs w:val="24"/>
              </w:rPr>
              <w:t>征求</w:t>
            </w:r>
            <w:r>
              <w:rPr>
                <w:rFonts w:hint="eastAsia"/>
                <w:szCs w:val="24"/>
                <w:lang w:val="en-US" w:eastAsia="zh-CN"/>
              </w:rPr>
              <w:t>厅系统</w:t>
            </w:r>
            <w:r>
              <w:rPr>
                <w:szCs w:val="24"/>
              </w:rPr>
              <w:t>意见</w:t>
            </w:r>
          </w:p>
        </w:tc>
        <w:tc>
          <w:tcPr>
            <w:tcW w:w="3105" w:type="pct"/>
            <w:vAlign w:val="center"/>
          </w:tcPr>
          <w:p w14:paraId="5EEEBBC7">
            <w:pPr>
              <w:adjustRightInd w:val="0"/>
              <w:snapToGrid w:val="0"/>
              <w:spacing w:line="240" w:lineRule="auto"/>
              <w:ind w:firstLine="0" w:firstLineChars="0"/>
              <w:rPr>
                <w:rFonts w:hint="default"/>
                <w:szCs w:val="24"/>
                <w:lang w:val="en-US"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厅机关相关处室</w:t>
            </w:r>
            <w:r>
              <w:rPr>
                <w:szCs w:val="24"/>
                <w:lang w:eastAsia="zh-CN"/>
              </w:rPr>
              <w:t>征求意见</w:t>
            </w:r>
            <w:r>
              <w:rPr>
                <w:rFonts w:hint="eastAsia"/>
                <w:szCs w:val="24"/>
                <w:lang w:eastAsia="zh-CN"/>
              </w:rPr>
              <w:t>，</w:t>
            </w:r>
            <w:r>
              <w:rPr>
                <w:rFonts w:hint="eastAsia"/>
                <w:szCs w:val="24"/>
                <w:lang w:val="en-US" w:eastAsia="zh-CN"/>
              </w:rPr>
              <w:t>并完成修改稿。</w:t>
            </w:r>
          </w:p>
        </w:tc>
      </w:tr>
      <w:tr w14:paraId="3564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3ACF21F8">
            <w:pPr>
              <w:adjustRightInd w:val="0"/>
              <w:snapToGrid w:val="0"/>
              <w:spacing w:line="240" w:lineRule="auto"/>
              <w:ind w:firstLine="0" w:firstLineChars="0"/>
              <w:jc w:val="center"/>
              <w:rPr>
                <w:rFonts w:hint="default"/>
                <w:szCs w:val="24"/>
                <w:lang w:val="en-US" w:eastAsia="zh-CN"/>
              </w:rPr>
            </w:pPr>
            <w:r>
              <w:rPr>
                <w:rFonts w:hint="eastAsia"/>
                <w:szCs w:val="24"/>
                <w:lang w:val="en-US" w:eastAsia="zh-CN"/>
              </w:rPr>
              <w:t>2024.09</w:t>
            </w:r>
          </w:p>
        </w:tc>
        <w:tc>
          <w:tcPr>
            <w:tcW w:w="1071" w:type="pct"/>
            <w:vAlign w:val="center"/>
          </w:tcPr>
          <w:p w14:paraId="32321015">
            <w:pPr>
              <w:adjustRightInd w:val="0"/>
              <w:snapToGrid w:val="0"/>
              <w:spacing w:line="240" w:lineRule="auto"/>
              <w:ind w:firstLine="0" w:firstLineChars="0"/>
              <w:jc w:val="center"/>
              <w:rPr>
                <w:rFonts w:hint="default"/>
                <w:szCs w:val="24"/>
                <w:lang w:val="en-US" w:eastAsia="zh-CN"/>
              </w:rPr>
            </w:pPr>
            <w:r>
              <w:rPr>
                <w:rFonts w:hint="eastAsia"/>
                <w:szCs w:val="24"/>
                <w:lang w:eastAsia="zh-CN"/>
              </w:rPr>
              <w:t>再次</w:t>
            </w:r>
            <w:r>
              <w:rPr>
                <w:szCs w:val="24"/>
              </w:rPr>
              <w:t>征求</w:t>
            </w:r>
            <w:r>
              <w:rPr>
                <w:rFonts w:hint="eastAsia"/>
                <w:szCs w:val="24"/>
                <w:lang w:val="en-US" w:eastAsia="zh-CN"/>
              </w:rPr>
              <w:t>部水司意见</w:t>
            </w:r>
          </w:p>
        </w:tc>
        <w:tc>
          <w:tcPr>
            <w:tcW w:w="3105" w:type="pct"/>
            <w:vAlign w:val="center"/>
          </w:tcPr>
          <w:p w14:paraId="4148C5C0">
            <w:pPr>
              <w:adjustRightInd w:val="0"/>
              <w:snapToGrid w:val="0"/>
              <w:spacing w:line="240" w:lineRule="auto"/>
              <w:ind w:firstLine="0" w:firstLineChars="0"/>
              <w:rPr>
                <w:szCs w:val="24"/>
                <w:lang w:eastAsia="zh-CN"/>
              </w:rPr>
            </w:pPr>
            <w:r>
              <w:rPr>
                <w:szCs w:val="24"/>
                <w:lang w:eastAsia="zh-CN"/>
              </w:rPr>
              <w:t>将</w:t>
            </w:r>
            <w:r>
              <w:rPr>
                <w:rFonts w:hint="eastAsia"/>
                <w:szCs w:val="24"/>
                <w:lang w:eastAsia="zh-CN"/>
              </w:rPr>
              <w:t>指南</w:t>
            </w:r>
            <w:r>
              <w:rPr>
                <w:szCs w:val="24"/>
                <w:lang w:eastAsia="zh-CN"/>
              </w:rPr>
              <w:t>文本和编制说明</w:t>
            </w:r>
            <w:r>
              <w:rPr>
                <w:rFonts w:hint="eastAsia"/>
                <w:szCs w:val="24"/>
                <w:lang w:eastAsia="zh-CN"/>
              </w:rPr>
              <w:t>再次</w:t>
            </w:r>
            <w:r>
              <w:rPr>
                <w:szCs w:val="24"/>
                <w:lang w:eastAsia="zh-CN"/>
              </w:rPr>
              <w:t>发送</w:t>
            </w:r>
            <w:r>
              <w:rPr>
                <w:rFonts w:hint="eastAsia"/>
                <w:szCs w:val="24"/>
                <w:lang w:val="en-US" w:eastAsia="zh-CN"/>
              </w:rPr>
              <w:t>部水司</w:t>
            </w:r>
            <w:r>
              <w:rPr>
                <w:szCs w:val="24"/>
                <w:lang w:eastAsia="zh-CN"/>
              </w:rPr>
              <w:t>征求意见</w:t>
            </w:r>
            <w:r>
              <w:rPr>
                <w:rFonts w:hint="eastAsia"/>
                <w:szCs w:val="24"/>
                <w:lang w:eastAsia="zh-CN"/>
              </w:rPr>
              <w:t>，</w:t>
            </w:r>
            <w:r>
              <w:rPr>
                <w:rFonts w:hint="eastAsia"/>
                <w:szCs w:val="24"/>
                <w:lang w:val="en-US" w:eastAsia="zh-CN"/>
              </w:rPr>
              <w:t>并完成修改稿。</w:t>
            </w:r>
          </w:p>
        </w:tc>
      </w:tr>
      <w:tr w14:paraId="391D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3" w:type="pct"/>
            <w:vAlign w:val="center"/>
          </w:tcPr>
          <w:p w14:paraId="681CD885">
            <w:pPr>
              <w:adjustRightInd w:val="0"/>
              <w:snapToGrid w:val="0"/>
              <w:spacing w:line="240" w:lineRule="auto"/>
              <w:ind w:firstLine="0" w:firstLineChars="0"/>
              <w:jc w:val="center"/>
              <w:rPr>
                <w:rFonts w:hint="default" w:eastAsia="宋体"/>
                <w:szCs w:val="24"/>
                <w:lang w:val="en-US" w:eastAsia="zh-CN"/>
              </w:rPr>
            </w:pPr>
            <w:r>
              <w:rPr>
                <w:szCs w:val="24"/>
              </w:rPr>
              <w:t>20</w:t>
            </w:r>
            <w:r>
              <w:rPr>
                <w:szCs w:val="24"/>
                <w:lang w:eastAsia="zh-CN"/>
              </w:rPr>
              <w:t>2</w:t>
            </w:r>
            <w:r>
              <w:rPr>
                <w:rFonts w:hint="eastAsia"/>
                <w:szCs w:val="24"/>
                <w:lang w:val="en-US" w:eastAsia="zh-CN"/>
              </w:rPr>
              <w:t>4</w:t>
            </w:r>
            <w:r>
              <w:rPr>
                <w:szCs w:val="24"/>
              </w:rPr>
              <w:t>.</w:t>
            </w:r>
            <w:r>
              <w:rPr>
                <w:rFonts w:hint="eastAsia"/>
                <w:szCs w:val="24"/>
                <w:lang w:val="en-US" w:eastAsia="zh-CN"/>
              </w:rPr>
              <w:t>10</w:t>
            </w:r>
          </w:p>
        </w:tc>
        <w:tc>
          <w:tcPr>
            <w:tcW w:w="1071" w:type="pct"/>
            <w:vAlign w:val="center"/>
          </w:tcPr>
          <w:p w14:paraId="24FB9F88">
            <w:pPr>
              <w:adjustRightInd w:val="0"/>
              <w:snapToGrid w:val="0"/>
              <w:spacing w:line="240" w:lineRule="auto"/>
              <w:ind w:firstLine="0" w:firstLineChars="0"/>
              <w:jc w:val="center"/>
              <w:rPr>
                <w:szCs w:val="24"/>
              </w:rPr>
            </w:pPr>
            <w:r>
              <w:rPr>
                <w:szCs w:val="24"/>
                <w:lang w:eastAsia="zh-CN"/>
              </w:rPr>
              <w:t>报审</w:t>
            </w:r>
          </w:p>
        </w:tc>
        <w:tc>
          <w:tcPr>
            <w:tcW w:w="3105" w:type="pct"/>
            <w:vAlign w:val="center"/>
          </w:tcPr>
          <w:p w14:paraId="090E55AC">
            <w:pPr>
              <w:adjustRightInd w:val="0"/>
              <w:snapToGrid w:val="0"/>
              <w:spacing w:line="240" w:lineRule="auto"/>
              <w:ind w:firstLine="0" w:firstLineChars="0"/>
              <w:rPr>
                <w:szCs w:val="24"/>
                <w:lang w:eastAsia="zh-CN"/>
              </w:rPr>
            </w:pPr>
            <w:r>
              <w:rPr>
                <w:szCs w:val="24"/>
                <w:lang w:eastAsia="zh-CN"/>
              </w:rPr>
              <w:t>提交标准报审稿、编制说明报审稿及意见汇总处理表。</w:t>
            </w:r>
          </w:p>
        </w:tc>
      </w:tr>
    </w:tbl>
    <w:p w14:paraId="5AF09D9D">
      <w:pPr>
        <w:pStyle w:val="2"/>
        <w:numPr>
          <w:ilvl w:val="0"/>
          <w:numId w:val="0"/>
        </w:numPr>
        <w:bidi w:val="0"/>
        <w:ind w:left="0" w:leftChars="0" w:firstLine="0" w:firstLineChars="0"/>
        <w:rPr>
          <w:rFonts w:hint="eastAsia" w:ascii="Times New Roman" w:hAnsi="Times New Roman" w:cs="Times New Roman"/>
          <w:lang w:eastAsia="zh-CN"/>
        </w:rPr>
      </w:pPr>
      <w:bookmarkStart w:id="40" w:name="_Toc9870"/>
      <w:r>
        <w:rPr>
          <w:rFonts w:hint="eastAsia" w:ascii="Times New Roman" w:hAnsi="Times New Roman" w:eastAsia="黑体" w:cs="Times New Roman"/>
          <w:sz w:val="32"/>
          <w:szCs w:val="28"/>
          <w:lang w:val="en-US" w:eastAsia="zh-CN" w:bidi="ar-SA"/>
        </w:rPr>
        <w:t>五、</w:t>
      </w:r>
      <w:r>
        <w:rPr>
          <w:rFonts w:hint="eastAsia" w:ascii="Times New Roman" w:hAnsi="Times New Roman" w:cs="Times New Roman"/>
          <w:lang w:eastAsia="zh-CN"/>
        </w:rPr>
        <w:t>主要技术内容</w:t>
      </w:r>
      <w:bookmarkEnd w:id="40"/>
    </w:p>
    <w:p w14:paraId="23547155">
      <w:pPr>
        <w:pStyle w:val="3"/>
        <w:keepNext w:val="0"/>
        <w:keepLines w:val="0"/>
        <w:numPr>
          <w:ilvl w:val="1"/>
          <w:numId w:val="0"/>
        </w:numPr>
        <w:adjustRightInd w:val="0"/>
        <w:snapToGrid w:val="0"/>
        <w:spacing w:before="0" w:beforeLines="0" w:after="0" w:afterLines="0" w:line="360" w:lineRule="auto"/>
        <w:ind w:left="0" w:leftChars="0" w:firstLine="0" w:firstLineChars="0"/>
        <w:rPr>
          <w:sz w:val="28"/>
          <w:szCs w:val="24"/>
        </w:rPr>
      </w:pPr>
      <w:bookmarkStart w:id="41" w:name="_Toc20058647"/>
      <w:bookmarkStart w:id="42" w:name="_Toc4400"/>
      <w:bookmarkStart w:id="43" w:name="_Hlk95470133"/>
      <w:r>
        <w:rPr>
          <w:rFonts w:hint="eastAsia"/>
          <w:sz w:val="28"/>
          <w:szCs w:val="24"/>
          <w:lang w:val="en-US" w:eastAsia="zh-CN"/>
        </w:rPr>
        <w:t>5.1</w:t>
      </w:r>
      <w:r>
        <w:rPr>
          <w:sz w:val="28"/>
          <w:szCs w:val="24"/>
        </w:rPr>
        <w:t>标准框架</w:t>
      </w:r>
      <w:bookmarkEnd w:id="41"/>
      <w:r>
        <w:rPr>
          <w:sz w:val="28"/>
          <w:szCs w:val="24"/>
        </w:rPr>
        <w:t>结构</w:t>
      </w:r>
      <w:bookmarkEnd w:id="42"/>
    </w:p>
    <w:bookmarkEnd w:id="43"/>
    <w:p w14:paraId="254EF0B6">
      <w:pPr>
        <w:adjustRightInd w:val="0"/>
        <w:snapToGrid w:val="0"/>
        <w:spacing w:line="360" w:lineRule="auto"/>
        <w:ind w:firstLine="560"/>
        <w:rPr>
          <w:sz w:val="28"/>
          <w:szCs w:val="24"/>
          <w:lang w:eastAsia="zh-CN"/>
        </w:rPr>
      </w:pPr>
      <w:r>
        <w:rPr>
          <w:sz w:val="28"/>
          <w:szCs w:val="24"/>
          <w:lang w:eastAsia="zh-CN"/>
        </w:rPr>
        <w:t>本</w:t>
      </w:r>
      <w:r>
        <w:rPr>
          <w:rFonts w:hint="eastAsia"/>
          <w:sz w:val="28"/>
          <w:szCs w:val="24"/>
          <w:lang w:eastAsia="zh-CN"/>
        </w:rPr>
        <w:t>系列指南</w:t>
      </w:r>
      <w:r>
        <w:rPr>
          <w:sz w:val="28"/>
          <w:szCs w:val="24"/>
          <w:lang w:eastAsia="zh-CN"/>
        </w:rPr>
        <w:t>结构按照《标准化工作导则 第1部分：标准化文件的结构和起草规则》（GB/T 1.1）的要求进行编排，</w:t>
      </w:r>
      <w:r>
        <w:rPr>
          <w:rFonts w:hint="eastAsia"/>
          <w:sz w:val="28"/>
          <w:szCs w:val="24"/>
          <w:lang w:eastAsia="zh-CN"/>
        </w:rPr>
        <w:t>指南</w:t>
      </w:r>
      <w:r>
        <w:rPr>
          <w:sz w:val="28"/>
          <w:szCs w:val="24"/>
          <w:lang w:eastAsia="zh-CN"/>
        </w:rPr>
        <w:t>规定了</w:t>
      </w:r>
      <w:r>
        <w:rPr>
          <w:rFonts w:hint="eastAsia"/>
          <w:sz w:val="28"/>
          <w:szCs w:val="24"/>
          <w:lang w:eastAsia="zh-CN"/>
        </w:rPr>
        <w:t>湖库水生态修复中水质改善技术的选择，主要包括</w:t>
      </w:r>
      <w:r>
        <w:rPr>
          <w:sz w:val="28"/>
          <w:szCs w:val="24"/>
          <w:lang w:eastAsia="zh-CN"/>
        </w:rPr>
        <w:t>范围、规范性引用文件、术语和定义</w:t>
      </w:r>
      <w:r>
        <w:rPr>
          <w:rFonts w:hint="eastAsia"/>
          <w:sz w:val="28"/>
          <w:szCs w:val="24"/>
          <w:lang w:eastAsia="zh-CN"/>
        </w:rPr>
        <w:t>、一般要求以及生物膜、曝气增氧、生态浮床、化学絮凝、人工水草、生态补水、水动力循环的适用范围、技术特点、技术方法和限制因素、技术比选等部分。</w:t>
      </w:r>
    </w:p>
    <w:p w14:paraId="4B194AEA">
      <w:pPr>
        <w:adjustRightInd w:val="0"/>
        <w:snapToGrid w:val="0"/>
        <w:spacing w:line="360" w:lineRule="auto"/>
        <w:ind w:firstLine="560"/>
        <w:rPr>
          <w:sz w:val="28"/>
          <w:szCs w:val="24"/>
          <w:lang w:eastAsia="zh-CN"/>
        </w:rPr>
      </w:pPr>
      <w:r>
        <w:rPr>
          <w:sz w:val="28"/>
          <w:szCs w:val="24"/>
          <w:lang w:eastAsia="zh-CN"/>
        </w:rPr>
        <w:t xml:space="preserve">1. 范围：对文件的主题内容与适用范围进行说明。 </w:t>
      </w:r>
    </w:p>
    <w:p w14:paraId="76A8DDAE">
      <w:pPr>
        <w:adjustRightInd w:val="0"/>
        <w:snapToGrid w:val="0"/>
        <w:spacing w:line="360" w:lineRule="auto"/>
        <w:ind w:firstLine="560"/>
        <w:rPr>
          <w:sz w:val="28"/>
          <w:szCs w:val="24"/>
          <w:lang w:eastAsia="zh-CN"/>
        </w:rPr>
      </w:pPr>
      <w:r>
        <w:rPr>
          <w:sz w:val="28"/>
          <w:szCs w:val="24"/>
          <w:lang w:eastAsia="zh-CN"/>
        </w:rPr>
        <w:t xml:space="preserve">2. 规范性引用文件：对文件中引用的标准、规范等进行说明。 </w:t>
      </w:r>
    </w:p>
    <w:p w14:paraId="2B61C14D">
      <w:pPr>
        <w:adjustRightInd w:val="0"/>
        <w:snapToGrid w:val="0"/>
        <w:spacing w:line="360" w:lineRule="auto"/>
        <w:ind w:firstLine="560"/>
        <w:rPr>
          <w:sz w:val="28"/>
          <w:szCs w:val="24"/>
          <w:lang w:eastAsia="zh-CN"/>
        </w:rPr>
      </w:pPr>
      <w:r>
        <w:rPr>
          <w:sz w:val="28"/>
          <w:szCs w:val="24"/>
          <w:lang w:eastAsia="zh-CN"/>
        </w:rPr>
        <w:t>3. 术语与定义：对文件中关键词语的解释。</w:t>
      </w:r>
    </w:p>
    <w:p w14:paraId="5C03A271">
      <w:pPr>
        <w:adjustRightInd w:val="0"/>
        <w:snapToGrid w:val="0"/>
        <w:spacing w:line="360" w:lineRule="auto"/>
        <w:ind w:firstLine="560"/>
        <w:rPr>
          <w:rFonts w:hint="eastAsia"/>
          <w:sz w:val="28"/>
          <w:szCs w:val="24"/>
          <w:lang w:eastAsia="zh-CN"/>
        </w:rPr>
      </w:pPr>
      <w:r>
        <w:rPr>
          <w:rFonts w:hint="eastAsia"/>
          <w:sz w:val="28"/>
          <w:szCs w:val="24"/>
          <w:lang w:eastAsia="zh-CN"/>
        </w:rPr>
        <w:t>4</w:t>
      </w:r>
      <w:r>
        <w:rPr>
          <w:sz w:val="28"/>
          <w:szCs w:val="24"/>
          <w:lang w:eastAsia="zh-CN"/>
        </w:rPr>
        <w:t xml:space="preserve">. </w:t>
      </w:r>
      <w:r>
        <w:rPr>
          <w:rFonts w:hint="eastAsia"/>
          <w:sz w:val="28"/>
          <w:szCs w:val="24"/>
          <w:lang w:eastAsia="zh-CN"/>
        </w:rPr>
        <w:t>一般规定：对湖库水质改善遵循原则和技术选择条件进行说明。</w:t>
      </w:r>
    </w:p>
    <w:p w14:paraId="7C9DC931">
      <w:pPr>
        <w:adjustRightInd w:val="0"/>
        <w:snapToGrid w:val="0"/>
        <w:spacing w:line="360" w:lineRule="auto"/>
        <w:ind w:firstLine="560"/>
        <w:rPr>
          <w:rFonts w:hint="default"/>
          <w:sz w:val="28"/>
          <w:szCs w:val="24"/>
          <w:lang w:val="en-US" w:eastAsia="zh-CN"/>
        </w:rPr>
      </w:pPr>
      <w:r>
        <w:rPr>
          <w:rFonts w:hint="eastAsia"/>
          <w:sz w:val="28"/>
          <w:szCs w:val="24"/>
          <w:lang w:val="en-US" w:eastAsia="zh-CN"/>
        </w:rPr>
        <w:t>5. 工作流程：对水质改善工作流程进行了相关说明。</w:t>
      </w:r>
    </w:p>
    <w:p w14:paraId="73DF9327">
      <w:pPr>
        <w:adjustRightInd w:val="0"/>
        <w:snapToGrid w:val="0"/>
        <w:spacing w:line="360" w:lineRule="auto"/>
        <w:ind w:firstLine="560"/>
        <w:rPr>
          <w:sz w:val="28"/>
          <w:szCs w:val="24"/>
          <w:lang w:eastAsia="zh-CN"/>
        </w:rPr>
      </w:pPr>
      <w:r>
        <w:rPr>
          <w:rFonts w:hint="eastAsia"/>
          <w:sz w:val="28"/>
          <w:szCs w:val="24"/>
          <w:lang w:val="en-US" w:eastAsia="zh-CN"/>
        </w:rPr>
        <w:t>6</w:t>
      </w:r>
      <w:r>
        <w:rPr>
          <w:sz w:val="28"/>
          <w:szCs w:val="24"/>
          <w:lang w:eastAsia="zh-CN"/>
        </w:rPr>
        <w:t xml:space="preserve">. </w:t>
      </w:r>
      <w:r>
        <w:rPr>
          <w:rFonts w:hint="eastAsia"/>
          <w:sz w:val="28"/>
          <w:szCs w:val="24"/>
          <w:lang w:eastAsia="zh-CN"/>
        </w:rPr>
        <w:t>生物膜</w:t>
      </w:r>
      <w:r>
        <w:rPr>
          <w:sz w:val="28"/>
          <w:szCs w:val="24"/>
          <w:lang w:eastAsia="zh-CN"/>
        </w:rPr>
        <w:t>：对</w:t>
      </w:r>
      <w:r>
        <w:rPr>
          <w:rFonts w:hint="eastAsia"/>
          <w:sz w:val="28"/>
          <w:szCs w:val="24"/>
          <w:lang w:eastAsia="zh-CN"/>
        </w:rPr>
        <w:t>生物膜适用范围、技术要点和限制因素</w:t>
      </w:r>
      <w:r>
        <w:rPr>
          <w:sz w:val="28"/>
          <w:szCs w:val="24"/>
          <w:lang w:eastAsia="zh-CN"/>
        </w:rPr>
        <w:t>进行了相关说明。</w:t>
      </w:r>
    </w:p>
    <w:p w14:paraId="013A610E">
      <w:pPr>
        <w:adjustRightInd w:val="0"/>
        <w:snapToGrid w:val="0"/>
        <w:spacing w:line="360" w:lineRule="auto"/>
        <w:ind w:firstLine="560"/>
        <w:rPr>
          <w:sz w:val="28"/>
          <w:szCs w:val="24"/>
          <w:lang w:eastAsia="zh-CN"/>
        </w:rPr>
      </w:pPr>
      <w:r>
        <w:rPr>
          <w:rFonts w:hint="eastAsia"/>
          <w:sz w:val="28"/>
          <w:szCs w:val="24"/>
          <w:lang w:val="en-US" w:eastAsia="zh-CN"/>
        </w:rPr>
        <w:t>7</w:t>
      </w:r>
      <w:r>
        <w:rPr>
          <w:sz w:val="28"/>
          <w:szCs w:val="24"/>
          <w:lang w:eastAsia="zh-CN"/>
        </w:rPr>
        <w:t xml:space="preserve"> </w:t>
      </w:r>
      <w:r>
        <w:rPr>
          <w:rFonts w:hint="eastAsia"/>
          <w:sz w:val="28"/>
          <w:szCs w:val="24"/>
          <w:lang w:eastAsia="zh-CN"/>
        </w:rPr>
        <w:t>曝气增氧</w:t>
      </w:r>
      <w:r>
        <w:rPr>
          <w:sz w:val="28"/>
          <w:szCs w:val="24"/>
          <w:lang w:eastAsia="zh-CN"/>
        </w:rPr>
        <w:t>：对</w:t>
      </w:r>
      <w:r>
        <w:rPr>
          <w:rFonts w:hint="eastAsia"/>
          <w:sz w:val="28"/>
          <w:szCs w:val="24"/>
          <w:lang w:eastAsia="zh-CN"/>
        </w:rPr>
        <w:t>曝气增氧适用范围、技术要点和限制因素</w:t>
      </w:r>
      <w:r>
        <w:rPr>
          <w:sz w:val="28"/>
          <w:szCs w:val="24"/>
          <w:lang w:eastAsia="zh-CN"/>
        </w:rPr>
        <w:t>进行了相关说明。</w:t>
      </w:r>
    </w:p>
    <w:p w14:paraId="10020DA8">
      <w:pPr>
        <w:adjustRightInd w:val="0"/>
        <w:snapToGrid w:val="0"/>
        <w:spacing w:line="360" w:lineRule="auto"/>
        <w:ind w:firstLine="560"/>
        <w:rPr>
          <w:sz w:val="28"/>
          <w:szCs w:val="24"/>
          <w:lang w:eastAsia="zh-CN"/>
        </w:rPr>
      </w:pPr>
      <w:r>
        <w:rPr>
          <w:rFonts w:hint="eastAsia"/>
          <w:sz w:val="28"/>
          <w:szCs w:val="24"/>
          <w:lang w:val="en-US" w:eastAsia="zh-CN"/>
        </w:rPr>
        <w:t>8</w:t>
      </w:r>
      <w:r>
        <w:rPr>
          <w:sz w:val="28"/>
          <w:szCs w:val="24"/>
          <w:lang w:eastAsia="zh-CN"/>
        </w:rPr>
        <w:t xml:space="preserve">. </w:t>
      </w:r>
      <w:r>
        <w:rPr>
          <w:rFonts w:hint="eastAsia"/>
          <w:sz w:val="28"/>
          <w:szCs w:val="24"/>
          <w:lang w:eastAsia="zh-CN"/>
        </w:rPr>
        <w:t>生态浮床</w:t>
      </w:r>
      <w:r>
        <w:rPr>
          <w:sz w:val="28"/>
          <w:szCs w:val="24"/>
          <w:lang w:eastAsia="zh-CN"/>
        </w:rPr>
        <w:t>：对</w:t>
      </w:r>
      <w:r>
        <w:rPr>
          <w:rFonts w:hint="eastAsia"/>
          <w:sz w:val="28"/>
          <w:szCs w:val="24"/>
          <w:lang w:eastAsia="zh-CN"/>
        </w:rPr>
        <w:t>生态浮床适用范围、技术要点和限制因素</w:t>
      </w:r>
      <w:r>
        <w:rPr>
          <w:sz w:val="28"/>
          <w:szCs w:val="24"/>
          <w:lang w:eastAsia="zh-CN"/>
        </w:rPr>
        <w:t>进行了相关说明。</w:t>
      </w:r>
    </w:p>
    <w:p w14:paraId="70ED20B0">
      <w:pPr>
        <w:adjustRightInd w:val="0"/>
        <w:snapToGrid w:val="0"/>
        <w:spacing w:line="360" w:lineRule="auto"/>
        <w:ind w:firstLine="560"/>
        <w:rPr>
          <w:sz w:val="28"/>
          <w:szCs w:val="24"/>
          <w:lang w:eastAsia="zh-CN"/>
        </w:rPr>
      </w:pPr>
      <w:r>
        <w:rPr>
          <w:rFonts w:hint="eastAsia"/>
          <w:sz w:val="28"/>
          <w:szCs w:val="24"/>
          <w:lang w:val="en-US" w:eastAsia="zh-CN"/>
        </w:rPr>
        <w:t>9</w:t>
      </w:r>
      <w:r>
        <w:rPr>
          <w:sz w:val="28"/>
          <w:szCs w:val="24"/>
          <w:lang w:eastAsia="zh-CN"/>
        </w:rPr>
        <w:t xml:space="preserve">. </w:t>
      </w:r>
      <w:r>
        <w:rPr>
          <w:rFonts w:hint="eastAsia"/>
          <w:sz w:val="28"/>
          <w:szCs w:val="24"/>
          <w:lang w:eastAsia="zh-CN"/>
        </w:rPr>
        <w:t>化学絮凝</w:t>
      </w:r>
      <w:r>
        <w:rPr>
          <w:sz w:val="28"/>
          <w:szCs w:val="24"/>
          <w:lang w:eastAsia="zh-CN"/>
        </w:rPr>
        <w:t>：对</w:t>
      </w:r>
      <w:r>
        <w:rPr>
          <w:rFonts w:hint="eastAsia"/>
          <w:sz w:val="28"/>
          <w:szCs w:val="24"/>
          <w:lang w:eastAsia="zh-CN"/>
        </w:rPr>
        <w:t>化学絮凝适用范围、技术要点和限制因素</w:t>
      </w:r>
      <w:r>
        <w:rPr>
          <w:sz w:val="28"/>
          <w:szCs w:val="24"/>
          <w:lang w:eastAsia="zh-CN"/>
        </w:rPr>
        <w:t>进行了相关说明。</w:t>
      </w:r>
    </w:p>
    <w:p w14:paraId="1D4BB3D2">
      <w:pPr>
        <w:adjustRightInd w:val="0"/>
        <w:snapToGrid w:val="0"/>
        <w:spacing w:line="360" w:lineRule="auto"/>
        <w:ind w:firstLine="560"/>
        <w:rPr>
          <w:sz w:val="28"/>
          <w:szCs w:val="24"/>
          <w:lang w:eastAsia="zh-CN"/>
        </w:rPr>
      </w:pPr>
      <w:r>
        <w:rPr>
          <w:rFonts w:hint="eastAsia"/>
          <w:sz w:val="28"/>
          <w:szCs w:val="24"/>
          <w:lang w:val="en-US" w:eastAsia="zh-CN"/>
        </w:rPr>
        <w:t>10</w:t>
      </w:r>
      <w:r>
        <w:rPr>
          <w:sz w:val="28"/>
          <w:szCs w:val="24"/>
          <w:lang w:eastAsia="zh-CN"/>
        </w:rPr>
        <w:t xml:space="preserve">. </w:t>
      </w:r>
      <w:r>
        <w:rPr>
          <w:rFonts w:hint="eastAsia"/>
          <w:sz w:val="28"/>
          <w:szCs w:val="24"/>
          <w:lang w:eastAsia="zh-CN"/>
        </w:rPr>
        <w:t>人工水草</w:t>
      </w:r>
      <w:r>
        <w:rPr>
          <w:sz w:val="28"/>
          <w:szCs w:val="24"/>
          <w:lang w:eastAsia="zh-CN"/>
        </w:rPr>
        <w:t>：对</w:t>
      </w:r>
      <w:r>
        <w:rPr>
          <w:rFonts w:hint="eastAsia"/>
          <w:sz w:val="28"/>
          <w:szCs w:val="24"/>
          <w:lang w:eastAsia="zh-CN"/>
        </w:rPr>
        <w:t>人工水草适用范围、技术要点和限制因素</w:t>
      </w:r>
      <w:r>
        <w:rPr>
          <w:sz w:val="28"/>
          <w:szCs w:val="24"/>
          <w:lang w:eastAsia="zh-CN"/>
        </w:rPr>
        <w:t>进行了相关说明。</w:t>
      </w:r>
    </w:p>
    <w:p w14:paraId="404155CC">
      <w:pPr>
        <w:adjustRightInd w:val="0"/>
        <w:snapToGrid w:val="0"/>
        <w:spacing w:line="360" w:lineRule="auto"/>
        <w:ind w:firstLine="560"/>
        <w:rPr>
          <w:sz w:val="28"/>
          <w:szCs w:val="24"/>
          <w:lang w:eastAsia="zh-CN"/>
        </w:rPr>
      </w:pPr>
      <w:r>
        <w:rPr>
          <w:rFonts w:hint="eastAsia"/>
          <w:sz w:val="28"/>
          <w:szCs w:val="24"/>
          <w:lang w:eastAsia="zh-CN"/>
        </w:rPr>
        <w:t>1</w:t>
      </w:r>
      <w:r>
        <w:rPr>
          <w:rFonts w:hint="eastAsia"/>
          <w:sz w:val="28"/>
          <w:szCs w:val="24"/>
          <w:lang w:val="en-US" w:eastAsia="zh-CN"/>
        </w:rPr>
        <w:t>1</w:t>
      </w:r>
      <w:r>
        <w:rPr>
          <w:sz w:val="28"/>
          <w:szCs w:val="24"/>
          <w:lang w:eastAsia="zh-CN"/>
        </w:rPr>
        <w:t xml:space="preserve">. </w:t>
      </w:r>
      <w:r>
        <w:rPr>
          <w:rFonts w:hint="eastAsia"/>
          <w:sz w:val="28"/>
          <w:szCs w:val="24"/>
          <w:lang w:eastAsia="zh-CN"/>
        </w:rPr>
        <w:t>生态补水：</w:t>
      </w:r>
      <w:r>
        <w:rPr>
          <w:sz w:val="28"/>
          <w:szCs w:val="24"/>
          <w:lang w:eastAsia="zh-CN"/>
        </w:rPr>
        <w:t>对</w:t>
      </w:r>
      <w:r>
        <w:rPr>
          <w:rFonts w:hint="eastAsia"/>
          <w:sz w:val="28"/>
          <w:szCs w:val="24"/>
          <w:lang w:eastAsia="zh-CN"/>
        </w:rPr>
        <w:t>生态补水适用范围、技术要点和限制因素</w:t>
      </w:r>
      <w:r>
        <w:rPr>
          <w:sz w:val="28"/>
          <w:szCs w:val="24"/>
          <w:lang w:eastAsia="zh-CN"/>
        </w:rPr>
        <w:t>进行了相关说明。</w:t>
      </w:r>
    </w:p>
    <w:p w14:paraId="1DF62A78">
      <w:pPr>
        <w:adjustRightInd w:val="0"/>
        <w:snapToGrid w:val="0"/>
        <w:spacing w:line="360" w:lineRule="auto"/>
        <w:ind w:firstLine="560"/>
        <w:rPr>
          <w:rFonts w:hint="eastAsia"/>
          <w:sz w:val="28"/>
          <w:szCs w:val="24"/>
          <w:lang w:eastAsia="zh-CN"/>
        </w:rPr>
      </w:pPr>
      <w:r>
        <w:rPr>
          <w:rFonts w:hint="eastAsia"/>
          <w:sz w:val="28"/>
          <w:szCs w:val="24"/>
          <w:lang w:eastAsia="zh-CN"/>
        </w:rPr>
        <w:t>1</w:t>
      </w:r>
      <w:r>
        <w:rPr>
          <w:rFonts w:hint="eastAsia"/>
          <w:sz w:val="28"/>
          <w:szCs w:val="24"/>
          <w:lang w:val="en-US" w:eastAsia="zh-CN"/>
        </w:rPr>
        <w:t>2</w:t>
      </w:r>
      <w:r>
        <w:rPr>
          <w:sz w:val="28"/>
          <w:szCs w:val="24"/>
          <w:lang w:eastAsia="zh-CN"/>
        </w:rPr>
        <w:t xml:space="preserve">. </w:t>
      </w:r>
      <w:r>
        <w:rPr>
          <w:rFonts w:hint="eastAsia"/>
          <w:sz w:val="28"/>
          <w:szCs w:val="24"/>
          <w:lang w:eastAsia="zh-CN"/>
        </w:rPr>
        <w:t>水动力循环：</w:t>
      </w:r>
      <w:r>
        <w:rPr>
          <w:sz w:val="28"/>
          <w:szCs w:val="24"/>
          <w:lang w:eastAsia="zh-CN"/>
        </w:rPr>
        <w:t>对</w:t>
      </w:r>
      <w:r>
        <w:rPr>
          <w:rFonts w:hint="eastAsia"/>
          <w:sz w:val="28"/>
          <w:szCs w:val="24"/>
          <w:lang w:eastAsia="zh-CN"/>
        </w:rPr>
        <w:t>水动力循环适用范围、技术要点和限制因素</w:t>
      </w:r>
      <w:r>
        <w:rPr>
          <w:sz w:val="28"/>
          <w:szCs w:val="24"/>
          <w:lang w:eastAsia="zh-CN"/>
        </w:rPr>
        <w:t>进行了相关说明。</w:t>
      </w:r>
    </w:p>
    <w:p w14:paraId="19114872">
      <w:pPr>
        <w:adjustRightInd w:val="0"/>
        <w:snapToGrid w:val="0"/>
        <w:spacing w:line="360" w:lineRule="auto"/>
        <w:ind w:firstLine="560"/>
        <w:rPr>
          <w:sz w:val="28"/>
          <w:szCs w:val="24"/>
          <w:lang w:eastAsia="zh-CN"/>
        </w:rPr>
      </w:pPr>
      <w:r>
        <w:rPr>
          <w:rFonts w:hint="eastAsia"/>
          <w:sz w:val="28"/>
          <w:szCs w:val="24"/>
          <w:lang w:eastAsia="zh-CN"/>
        </w:rPr>
        <w:t>1</w:t>
      </w:r>
      <w:r>
        <w:rPr>
          <w:rFonts w:hint="eastAsia"/>
          <w:sz w:val="28"/>
          <w:szCs w:val="24"/>
          <w:lang w:val="en-US" w:eastAsia="zh-CN"/>
        </w:rPr>
        <w:t>3</w:t>
      </w:r>
      <w:r>
        <w:rPr>
          <w:sz w:val="28"/>
          <w:szCs w:val="24"/>
          <w:lang w:eastAsia="zh-CN"/>
        </w:rPr>
        <w:t xml:space="preserve">. </w:t>
      </w:r>
      <w:r>
        <w:rPr>
          <w:rFonts w:hint="eastAsia"/>
          <w:sz w:val="28"/>
          <w:szCs w:val="24"/>
          <w:lang w:eastAsia="zh-CN"/>
        </w:rPr>
        <w:t>技术比选：对生物膜、曝气增氧、生态浮床、化学絮凝、人工水草、生态补水、水动力循环适用条件、技术特点、作用机制、应用难度、技术造价等进行了比较说明。</w:t>
      </w:r>
    </w:p>
    <w:p w14:paraId="0D3B19AA">
      <w:pPr>
        <w:pStyle w:val="3"/>
        <w:numPr>
          <w:ilvl w:val="1"/>
          <w:numId w:val="0"/>
        </w:numPr>
        <w:bidi w:val="0"/>
        <w:ind w:left="0" w:leftChars="0" w:firstLine="0" w:firstLineChars="0"/>
      </w:pPr>
      <w:bookmarkStart w:id="44" w:name="_Toc514764256"/>
      <w:bookmarkEnd w:id="44"/>
      <w:bookmarkStart w:id="45" w:name="_Toc512268712"/>
      <w:bookmarkEnd w:id="45"/>
      <w:bookmarkStart w:id="46" w:name="_Toc30250"/>
      <w:bookmarkStart w:id="47" w:name="_Toc511396518"/>
      <w:bookmarkStart w:id="48" w:name="_Toc511507560"/>
      <w:r>
        <w:rPr>
          <w:rFonts w:hint="eastAsia" w:ascii="Times New Roman" w:hAnsi="Times New Roman" w:cs="Times New Roman"/>
          <w:sz w:val="28"/>
          <w:szCs w:val="21"/>
          <w:lang w:val="en-US" w:eastAsia="zh-CN" w:bidi="ar-SA"/>
        </w:rPr>
        <w:t>5.2</w:t>
      </w:r>
      <w:r>
        <w:t>条文说明</w:t>
      </w:r>
      <w:bookmarkEnd w:id="46"/>
    </w:p>
    <w:p w14:paraId="70F773E5">
      <w:pPr>
        <w:pStyle w:val="4"/>
        <w:numPr>
          <w:ilvl w:val="2"/>
          <w:numId w:val="0"/>
        </w:numPr>
        <w:bidi w:val="0"/>
        <w:ind w:left="0" w:leftChars="0" w:firstLine="0" w:firstLineChars="0"/>
        <w:rPr>
          <w:rFonts w:ascii="Times New Roman" w:hAnsi="Times New Roman" w:eastAsia="宋体" w:cs="Times New Roman"/>
        </w:rPr>
      </w:pPr>
      <w:bookmarkStart w:id="49" w:name="_Toc523476278"/>
      <w:bookmarkStart w:id="50" w:name="_Toc532895630"/>
      <w:bookmarkStart w:id="51" w:name="_Toc530065545"/>
      <w:bookmarkStart w:id="52" w:name="_Toc527835665"/>
      <w:bookmarkStart w:id="53" w:name="_Toc523383853"/>
      <w:bookmarkStart w:id="54" w:name="_Toc2401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w:t>
      </w:r>
      <w:r>
        <w:rPr>
          <w:rFonts w:ascii="Times New Roman" w:hAnsi="Times New Roman" w:eastAsia="宋体" w:cs="Times New Roman"/>
        </w:rPr>
        <w:t>范围</w:t>
      </w:r>
      <w:bookmarkEnd w:id="49"/>
      <w:bookmarkEnd w:id="50"/>
      <w:bookmarkEnd w:id="51"/>
      <w:bookmarkEnd w:id="52"/>
      <w:bookmarkEnd w:id="53"/>
      <w:bookmarkEnd w:id="54"/>
    </w:p>
    <w:p w14:paraId="7378B5E5">
      <w:pPr>
        <w:pStyle w:val="44"/>
        <w:widowControl w:val="0"/>
        <w:adjustRightInd w:val="0"/>
        <w:snapToGrid w:val="0"/>
        <w:spacing w:line="360" w:lineRule="auto"/>
        <w:ind w:firstLine="560"/>
        <w:rPr>
          <w:rFonts w:ascii="Times New Roman"/>
          <w:sz w:val="28"/>
          <w:szCs w:val="32"/>
        </w:rPr>
      </w:pPr>
      <w:r>
        <w:rPr>
          <w:rFonts w:hint="eastAsia" w:ascii="Times New Roman"/>
          <w:sz w:val="28"/>
          <w:szCs w:val="32"/>
        </w:rPr>
        <w:t>本指南规定了湖库水生态修复的一般要求、修复模式、适用范围、技术方法、限制因素，属于具有纲领性与原则性指导的技术指南，针对每一种修复工艺仅技术要点在本技术指南范围内。</w:t>
      </w:r>
    </w:p>
    <w:p w14:paraId="45CE81D9">
      <w:pPr>
        <w:pStyle w:val="4"/>
        <w:numPr>
          <w:ilvl w:val="2"/>
          <w:numId w:val="0"/>
        </w:numPr>
        <w:bidi w:val="0"/>
        <w:ind w:left="0" w:leftChars="0" w:firstLine="0" w:firstLineChars="0"/>
        <w:rPr>
          <w:rFonts w:ascii="Times New Roman" w:hAnsi="Times New Roman" w:eastAsia="宋体" w:cs="Times New Roman"/>
        </w:rPr>
      </w:pPr>
      <w:bookmarkStart w:id="55" w:name="_Toc514764254"/>
      <w:bookmarkStart w:id="56" w:name="_Toc512268710"/>
      <w:bookmarkStart w:id="57" w:name="_Toc512266612"/>
      <w:bookmarkStart w:id="58" w:name="_Toc514764288"/>
      <w:bookmarkStart w:id="59" w:name="_Toc512268753"/>
      <w:bookmarkStart w:id="60" w:name="_Toc5026"/>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2</w:t>
      </w:r>
      <w:r>
        <w:rPr>
          <w:rFonts w:ascii="Times New Roman" w:hAnsi="Times New Roman" w:eastAsia="宋体" w:cs="Times New Roman"/>
        </w:rPr>
        <w:t>规范性引用文件</w:t>
      </w:r>
      <w:bookmarkEnd w:id="55"/>
      <w:bookmarkEnd w:id="56"/>
      <w:bookmarkEnd w:id="57"/>
      <w:bookmarkEnd w:id="58"/>
      <w:bookmarkEnd w:id="59"/>
      <w:bookmarkEnd w:id="60"/>
    </w:p>
    <w:p w14:paraId="0D2D4889">
      <w:pPr>
        <w:pStyle w:val="44"/>
        <w:adjustRightInd w:val="0"/>
        <w:snapToGrid w:val="0"/>
        <w:spacing w:line="360" w:lineRule="auto"/>
        <w:ind w:firstLine="560"/>
        <w:rPr>
          <w:rFonts w:ascii="Times New Roman"/>
          <w:sz w:val="28"/>
          <w:szCs w:val="32"/>
        </w:rPr>
      </w:pPr>
      <w:bookmarkStart w:id="61" w:name="_Hlk95493748"/>
      <w:bookmarkStart w:id="62" w:name="_Hlk8566833"/>
      <w:r>
        <w:rPr>
          <w:sz w:val="28"/>
          <w:szCs w:val="32"/>
          <w:lang w:eastAsia="zh-CN"/>
        </w:rPr>
        <w:t>本文件所引用的国家有关</w:t>
      </w:r>
      <w:r>
        <w:rPr>
          <w:rFonts w:hint="eastAsia"/>
          <w:sz w:val="28"/>
          <w:szCs w:val="32"/>
          <w:lang w:eastAsia="zh-CN"/>
        </w:rPr>
        <w:t>标准、</w:t>
      </w:r>
      <w:r>
        <w:rPr>
          <w:sz w:val="28"/>
          <w:szCs w:val="32"/>
          <w:lang w:eastAsia="zh-CN"/>
        </w:rPr>
        <w:t>规范、</w:t>
      </w:r>
      <w:r>
        <w:rPr>
          <w:rFonts w:hint="eastAsia"/>
          <w:sz w:val="28"/>
          <w:szCs w:val="32"/>
          <w:lang w:eastAsia="zh-CN"/>
        </w:rPr>
        <w:t>指南</w:t>
      </w:r>
      <w:r>
        <w:rPr>
          <w:sz w:val="28"/>
          <w:szCs w:val="32"/>
          <w:lang w:eastAsia="zh-CN"/>
        </w:rPr>
        <w:t>均为现行且有效的，条文中给出编号，以便于使用时查找</w:t>
      </w:r>
      <w:r>
        <w:rPr>
          <w:rFonts w:ascii="Times New Roman"/>
          <w:sz w:val="28"/>
          <w:szCs w:val="32"/>
        </w:rPr>
        <w:t>。</w:t>
      </w:r>
      <w:bookmarkEnd w:id="61"/>
    </w:p>
    <w:bookmarkEnd w:id="62"/>
    <w:p w14:paraId="26E05AFC">
      <w:pPr>
        <w:pStyle w:val="4"/>
        <w:numPr>
          <w:ilvl w:val="2"/>
          <w:numId w:val="0"/>
        </w:numPr>
        <w:bidi w:val="0"/>
        <w:ind w:left="0" w:leftChars="0" w:firstLine="0" w:firstLineChars="0"/>
        <w:rPr>
          <w:rFonts w:ascii="Times New Roman" w:hAnsi="Times New Roman" w:eastAsia="宋体" w:cs="Times New Roman"/>
        </w:rPr>
      </w:pPr>
      <w:bookmarkStart w:id="63" w:name="_Toc512266613"/>
      <w:bookmarkEnd w:id="63"/>
      <w:bookmarkStart w:id="64" w:name="_Toc512268711"/>
      <w:bookmarkStart w:id="65" w:name="_Toc323394171"/>
      <w:bookmarkStart w:id="66" w:name="_Toc514764255"/>
      <w:bookmarkStart w:id="67" w:name="_Toc323394132"/>
      <w:bookmarkStart w:id="68" w:name="_Toc283112792"/>
      <w:bookmarkStart w:id="69" w:name="_Toc512268754"/>
      <w:bookmarkStart w:id="70" w:name="_Toc514764289"/>
      <w:bookmarkStart w:id="71" w:name="_Toc283111629"/>
      <w:bookmarkStart w:id="72" w:name="_Toc23198"/>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3</w:t>
      </w:r>
      <w:r>
        <w:rPr>
          <w:rFonts w:ascii="Times New Roman" w:hAnsi="Times New Roman" w:eastAsia="宋体" w:cs="Times New Roman"/>
        </w:rPr>
        <w:t>术语与定义</w:t>
      </w:r>
      <w:bookmarkEnd w:id="64"/>
      <w:bookmarkEnd w:id="65"/>
      <w:bookmarkEnd w:id="66"/>
      <w:bookmarkEnd w:id="67"/>
      <w:bookmarkEnd w:id="68"/>
      <w:bookmarkEnd w:id="69"/>
      <w:bookmarkEnd w:id="70"/>
      <w:bookmarkEnd w:id="71"/>
      <w:bookmarkEnd w:id="72"/>
    </w:p>
    <w:p w14:paraId="74377EF2">
      <w:pPr>
        <w:pStyle w:val="44"/>
        <w:widowControl w:val="0"/>
        <w:adjustRightInd w:val="0"/>
        <w:snapToGrid w:val="0"/>
        <w:spacing w:line="360" w:lineRule="auto"/>
        <w:ind w:firstLine="560"/>
        <w:rPr>
          <w:rFonts w:ascii="Times New Roman"/>
          <w:sz w:val="28"/>
          <w:szCs w:val="28"/>
        </w:rPr>
      </w:pPr>
      <w:r>
        <w:rPr>
          <w:rFonts w:ascii="Times New Roman"/>
          <w:sz w:val="28"/>
          <w:szCs w:val="28"/>
        </w:rPr>
        <w:t>本文件涉及了5个术语和定义。分别为</w:t>
      </w:r>
      <w:r>
        <w:rPr>
          <w:rFonts w:hint="eastAsia" w:ascii="Times New Roman"/>
          <w:sz w:val="28"/>
          <w:szCs w:val="28"/>
        </w:rPr>
        <w:t>人工水草、化学絮凝、生物膜、生态水位和生态补水</w:t>
      </w:r>
      <w:r>
        <w:rPr>
          <w:rFonts w:ascii="Times New Roman"/>
          <w:sz w:val="28"/>
          <w:szCs w:val="28"/>
        </w:rPr>
        <w:t>。</w:t>
      </w:r>
    </w:p>
    <w:p w14:paraId="6BF8342E">
      <w:pPr>
        <w:pStyle w:val="44"/>
        <w:widowControl w:val="0"/>
        <w:adjustRightInd w:val="0"/>
        <w:snapToGrid w:val="0"/>
        <w:spacing w:line="360" w:lineRule="auto"/>
        <w:ind w:firstLine="560"/>
        <w:rPr>
          <w:rFonts w:ascii="Times New Roman"/>
          <w:sz w:val="28"/>
          <w:szCs w:val="28"/>
        </w:rPr>
      </w:pPr>
      <w:r>
        <w:rPr>
          <w:sz w:val="28"/>
          <w:szCs w:val="28"/>
        </w:rPr>
        <w:t>【文件3.1条文说明】</w:t>
      </w:r>
      <w:r>
        <w:rPr>
          <w:rFonts w:hint="eastAsia" w:ascii="Times New Roman"/>
          <w:sz w:val="28"/>
          <w:szCs w:val="28"/>
        </w:rPr>
        <w:t>指利用耐污、耐腐蚀和强柔韧材料仿照水生植物设计而成的仿生载体。通过水体微生物自身演替，在载体表面形成菌类、藻类复合生物膜，提高水体透明度以及吸附降解水中的氮、磷、有机物、重金属等污染物。</w:t>
      </w:r>
    </w:p>
    <w:p w14:paraId="7787DF7C">
      <w:pPr>
        <w:pStyle w:val="44"/>
        <w:widowControl w:val="0"/>
        <w:adjustRightInd w:val="0"/>
        <w:snapToGrid w:val="0"/>
        <w:spacing w:line="360" w:lineRule="auto"/>
        <w:ind w:firstLine="560"/>
        <w:rPr>
          <w:sz w:val="28"/>
          <w:szCs w:val="28"/>
        </w:rPr>
      </w:pPr>
      <w:r>
        <w:rPr>
          <w:sz w:val="28"/>
          <w:szCs w:val="28"/>
        </w:rPr>
        <w:t>【文件3.2条文说明】</w:t>
      </w:r>
      <w:r>
        <w:rPr>
          <w:rFonts w:hint="eastAsia"/>
          <w:sz w:val="28"/>
          <w:szCs w:val="28"/>
        </w:rPr>
        <w:t>指通过投加化学药剂使水体中处于分散状态的污染物转化为聚集状态，便于去除水体污染物改善水质。</w:t>
      </w:r>
    </w:p>
    <w:p w14:paraId="2CFCA504">
      <w:pPr>
        <w:pStyle w:val="44"/>
        <w:widowControl w:val="0"/>
        <w:adjustRightInd w:val="0"/>
        <w:snapToGrid w:val="0"/>
        <w:spacing w:line="360" w:lineRule="auto"/>
        <w:ind w:firstLine="560"/>
        <w:rPr>
          <w:sz w:val="28"/>
          <w:szCs w:val="28"/>
        </w:rPr>
      </w:pPr>
      <w:r>
        <w:rPr>
          <w:sz w:val="28"/>
          <w:szCs w:val="28"/>
        </w:rPr>
        <w:t>【文件3.3条文说明】</w:t>
      </w:r>
      <w:r>
        <w:rPr>
          <w:rFonts w:hint="eastAsia"/>
          <w:sz w:val="28"/>
          <w:szCs w:val="28"/>
        </w:rPr>
        <w:t>细菌、真菌等一系列的微小生物附着在某种载体上而形成的有生物活性的表面被膜。</w:t>
      </w:r>
    </w:p>
    <w:p w14:paraId="460EE43B">
      <w:pPr>
        <w:pStyle w:val="44"/>
        <w:widowControl w:val="0"/>
        <w:adjustRightInd w:val="0"/>
        <w:snapToGrid w:val="0"/>
        <w:spacing w:line="360" w:lineRule="auto"/>
        <w:ind w:firstLine="560"/>
        <w:rPr>
          <w:sz w:val="28"/>
          <w:szCs w:val="28"/>
        </w:rPr>
      </w:pPr>
      <w:r>
        <w:rPr>
          <w:sz w:val="28"/>
          <w:szCs w:val="28"/>
        </w:rPr>
        <w:t>【文件3.4条文说明】</w:t>
      </w:r>
      <w:r>
        <w:rPr>
          <w:rFonts w:hint="eastAsia"/>
          <w:sz w:val="28"/>
          <w:szCs w:val="28"/>
        </w:rPr>
        <w:t>水体维持生物多样性和生态系统完整性且不对生态环境及自身造成严重破坏的最低运行水位。</w:t>
      </w:r>
    </w:p>
    <w:p w14:paraId="43728C34">
      <w:pPr>
        <w:pStyle w:val="44"/>
        <w:widowControl w:val="0"/>
        <w:adjustRightInd w:val="0"/>
        <w:snapToGrid w:val="0"/>
        <w:spacing w:line="360" w:lineRule="auto"/>
        <w:ind w:firstLine="560"/>
        <w:rPr>
          <w:rFonts w:ascii="Times New Roman"/>
          <w:sz w:val="28"/>
          <w:szCs w:val="28"/>
        </w:rPr>
      </w:pPr>
      <w:r>
        <w:rPr>
          <w:sz w:val="28"/>
          <w:szCs w:val="28"/>
        </w:rPr>
        <w:t>【文件3.5条文说明】</w:t>
      </w:r>
      <w:r>
        <w:rPr>
          <w:rFonts w:hint="eastAsia"/>
          <w:sz w:val="28"/>
          <w:szCs w:val="28"/>
        </w:rPr>
        <w:t>通过工程或非工程措施向因水量不足而造成生态系统结构破坏、功能丧失的水体补充其水量的活动</w:t>
      </w:r>
      <w:r>
        <w:rPr>
          <w:rFonts w:ascii="Times New Roman"/>
          <w:sz w:val="28"/>
          <w:szCs w:val="28"/>
        </w:rPr>
        <w:t>。</w:t>
      </w:r>
    </w:p>
    <w:p w14:paraId="2082A152">
      <w:pPr>
        <w:pStyle w:val="4"/>
        <w:numPr>
          <w:ilvl w:val="2"/>
          <w:numId w:val="0"/>
        </w:numPr>
        <w:bidi w:val="0"/>
        <w:ind w:left="0" w:leftChars="0" w:firstLine="0" w:firstLineChars="0"/>
        <w:rPr>
          <w:rFonts w:hint="eastAsia" w:ascii="Times New Roman" w:hAnsi="Times New Roman" w:eastAsia="宋体" w:cs="Times New Roman"/>
          <w:lang w:val="en-US" w:eastAsia="zh-CN"/>
        </w:rPr>
      </w:pPr>
      <w:bookmarkStart w:id="73" w:name="_Toc35"/>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4</w:t>
      </w:r>
      <w:r>
        <w:rPr>
          <w:rFonts w:hint="eastAsia" w:ascii="Times New Roman" w:hAnsi="Times New Roman" w:eastAsia="宋体" w:cs="Times New Roman"/>
        </w:rPr>
        <w:t>一般</w:t>
      </w:r>
      <w:r>
        <w:rPr>
          <w:rFonts w:hint="eastAsia" w:cs="Times New Roman"/>
          <w:lang w:val="en-US" w:eastAsia="zh-CN"/>
        </w:rPr>
        <w:t>规定</w:t>
      </w:r>
      <w:bookmarkEnd w:id="73"/>
    </w:p>
    <w:p w14:paraId="0DEFF294">
      <w:pPr>
        <w:pStyle w:val="44"/>
        <w:widowControl w:val="0"/>
        <w:adjustRightInd w:val="0"/>
        <w:snapToGrid w:val="0"/>
        <w:spacing w:line="360" w:lineRule="auto"/>
        <w:ind w:firstLine="560"/>
        <w:rPr>
          <w:rFonts w:ascii="Times New Roman"/>
          <w:sz w:val="28"/>
          <w:szCs w:val="28"/>
        </w:rPr>
      </w:pPr>
      <w:r>
        <w:rPr>
          <w:sz w:val="28"/>
          <w:szCs w:val="28"/>
          <w:lang w:eastAsia="zh-CN"/>
        </w:rPr>
        <w:t>湖库水质改善应遵循标本兼治、经济适用的基本原则，根据水体所处水系位置、湖库规模、水热状态、水质目标、水文地形特点、水体功能定位、开发利用现状、经济承受能力等具体情况，采用适宜的水质改善模式和工艺技术</w:t>
      </w:r>
      <w:r>
        <w:rPr>
          <w:rFonts w:hint="eastAsia" w:ascii="Times New Roman"/>
          <w:sz w:val="28"/>
          <w:szCs w:val="28"/>
        </w:rPr>
        <w:t>。</w:t>
      </w:r>
    </w:p>
    <w:p w14:paraId="2AE80AAC">
      <w:pPr>
        <w:pStyle w:val="4"/>
        <w:numPr>
          <w:ilvl w:val="2"/>
          <w:numId w:val="0"/>
        </w:numPr>
        <w:bidi w:val="0"/>
        <w:ind w:left="0" w:leftChars="0" w:firstLine="0" w:firstLineChars="0"/>
        <w:rPr>
          <w:rFonts w:hint="default" w:ascii="Times New Roman" w:hAnsi="Times New Roman" w:eastAsia="宋体" w:cs="Times New Roman"/>
          <w:lang w:val="en-US" w:eastAsia="zh-CN"/>
        </w:rPr>
      </w:pPr>
      <w:bookmarkStart w:id="74" w:name="_Toc1749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5</w:t>
      </w:r>
      <w:r>
        <w:rPr>
          <w:rFonts w:hint="eastAsia" w:ascii="Times New Roman" w:hAnsi="Times New Roman" w:eastAsia="宋体" w:cs="Times New Roman"/>
          <w:lang w:val="en-US" w:eastAsia="zh-CN"/>
        </w:rPr>
        <w:t>工作流程</w:t>
      </w:r>
      <w:bookmarkEnd w:id="74"/>
    </w:p>
    <w:p w14:paraId="3D27DE66">
      <w:pPr>
        <w:pStyle w:val="44"/>
        <w:widowControl w:val="0"/>
        <w:adjustRightInd w:val="0"/>
        <w:snapToGrid w:val="0"/>
        <w:spacing w:line="360" w:lineRule="auto"/>
        <w:ind w:firstLine="560"/>
        <w:rPr>
          <w:rFonts w:hint="default" w:ascii="Times New Roman" w:eastAsia="宋体"/>
          <w:sz w:val="28"/>
          <w:szCs w:val="28"/>
          <w:lang w:val="en-US" w:eastAsia="zh-CN"/>
        </w:rPr>
      </w:pPr>
      <w:r>
        <w:rPr>
          <w:rFonts w:hint="eastAsia" w:ascii="Times New Roman"/>
          <w:sz w:val="28"/>
          <w:szCs w:val="28"/>
          <w:lang w:val="en-US" w:eastAsia="zh-CN"/>
        </w:rPr>
        <w:t>本条文对湖库水质改善工作流程进行了相关说明。</w:t>
      </w:r>
    </w:p>
    <w:p w14:paraId="6322DDF3">
      <w:pPr>
        <w:pStyle w:val="4"/>
        <w:numPr>
          <w:ilvl w:val="2"/>
          <w:numId w:val="0"/>
        </w:numPr>
        <w:bidi w:val="0"/>
        <w:ind w:left="0" w:leftChars="0" w:firstLine="0" w:firstLineChars="0"/>
        <w:rPr>
          <w:rFonts w:ascii="Times New Roman" w:hAnsi="Times New Roman" w:eastAsia="宋体" w:cs="Times New Roman"/>
        </w:rPr>
      </w:pPr>
      <w:bookmarkStart w:id="75" w:name="_Toc11511"/>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6</w:t>
      </w:r>
      <w:bookmarkStart w:id="76" w:name="_Toc13115"/>
      <w:r>
        <w:rPr>
          <w:rFonts w:hint="eastAsia" w:ascii="Times New Roman" w:hAnsi="Times New Roman" w:eastAsia="宋体" w:cs="Times New Roman"/>
        </w:rPr>
        <w:t>生物膜</w:t>
      </w:r>
      <w:bookmarkEnd w:id="75"/>
      <w:bookmarkEnd w:id="76"/>
    </w:p>
    <w:p w14:paraId="42DB2DAC">
      <w:pPr>
        <w:adjustRightInd w:val="0"/>
        <w:snapToGrid w:val="0"/>
        <w:spacing w:line="360" w:lineRule="auto"/>
        <w:ind w:firstLine="560"/>
        <w:rPr>
          <w:sz w:val="28"/>
          <w:szCs w:val="24"/>
          <w:lang w:eastAsia="zh-CN"/>
        </w:rPr>
      </w:pPr>
      <w:r>
        <w:rPr>
          <w:sz w:val="28"/>
          <w:szCs w:val="24"/>
          <w:lang w:eastAsia="zh-CN"/>
        </w:rPr>
        <w:t>本文件对</w:t>
      </w:r>
      <w:r>
        <w:rPr>
          <w:rFonts w:hint="eastAsia"/>
          <w:sz w:val="28"/>
          <w:szCs w:val="24"/>
          <w:lang w:eastAsia="zh-CN"/>
        </w:rPr>
        <w:t>生态湿地的适用范围、技术要点和限制因素</w:t>
      </w:r>
      <w:r>
        <w:rPr>
          <w:sz w:val="28"/>
          <w:szCs w:val="24"/>
          <w:lang w:eastAsia="zh-CN"/>
        </w:rPr>
        <w:t>进行了相关说明。</w:t>
      </w:r>
    </w:p>
    <w:p w14:paraId="1C6454C8">
      <w:pPr>
        <w:spacing w:line="360" w:lineRule="auto"/>
        <w:ind w:firstLine="560"/>
        <w:rPr>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.1条文说明】</w:t>
      </w:r>
      <w:r>
        <w:rPr>
          <w:rFonts w:hint="eastAsia"/>
          <w:sz w:val="28"/>
          <w:szCs w:val="28"/>
          <w:lang w:eastAsia="zh-CN"/>
        </w:rPr>
        <w:t>生态湿地适用于水体富营养化相对严重的湖库浅水区域，且易于布置工程措施的待治理区域。通常为降雨径流的汇水通道末端，湖体岸线坡度通常小于10度。</w:t>
      </w:r>
    </w:p>
    <w:p w14:paraId="7DF29C3C">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.2条文说明】</w:t>
      </w:r>
      <w:r>
        <w:rPr>
          <w:rFonts w:hint="eastAsia"/>
          <w:sz w:val="28"/>
          <w:szCs w:val="28"/>
          <w:lang w:eastAsia="zh-CN"/>
        </w:rPr>
        <w:t>湖湾区水体往往具备流动性较差、参与水体循环较少的特点，湖湾水质自净能力弱。湖湾区通常为径流汇聚区，其受污染相对明显。浅水区水体深度往往适宜种植水生植物且易于布置工程措施。有条件的湖库可考虑将湖湾区改造成具有较强净化水质能力的生态湿地，以强化处理来水，提升湖湾区的水体自净能力。</w:t>
      </w:r>
      <w:r>
        <w:rPr>
          <w:rFonts w:hint="eastAsia" w:ascii="Times New Roman" w:eastAsia="宋体"/>
          <w:sz w:val="28"/>
          <w:szCs w:val="24"/>
        </w:rPr>
        <w:t>生态湿地规模</w:t>
      </w:r>
      <w:r>
        <w:rPr>
          <w:rFonts w:hint="eastAsia" w:ascii="Times New Roman" w:eastAsia="宋体"/>
          <w:sz w:val="28"/>
          <w:szCs w:val="24"/>
          <w:lang w:val="en-US" w:eastAsia="zh-CN"/>
        </w:rPr>
        <w:t>视湖库实际待治理区域面积而定，一般面积不超过3000 m</w:t>
      </w:r>
      <w:r>
        <w:rPr>
          <w:rFonts w:hint="eastAsia" w:ascii="Times New Roman" w:eastAsia="宋体"/>
          <w:sz w:val="28"/>
          <w:szCs w:val="24"/>
          <w:vertAlign w:val="superscript"/>
          <w:lang w:val="en-US" w:eastAsia="zh-CN"/>
        </w:rPr>
        <w:t>2</w:t>
      </w:r>
    </w:p>
    <w:p w14:paraId="46EDCC81">
      <w:pPr>
        <w:spacing w:line="360" w:lineRule="auto"/>
        <w:ind w:firstLine="560"/>
        <w:rPr>
          <w:rFonts w:hint="eastAsia"/>
          <w:sz w:val="28"/>
          <w:szCs w:val="28"/>
          <w:lang w:eastAsia="zh-CN"/>
        </w:rPr>
      </w:pPr>
      <w:r>
        <w:rPr>
          <w:rFonts w:hint="eastAsia"/>
          <w:sz w:val="28"/>
          <w:szCs w:val="28"/>
          <w:lang w:eastAsia="zh-CN"/>
        </w:rPr>
        <w:t>生态湿地宜设置在一定的长宽比及底面有坡度的洼地中，由土壤和填料（如卵石、砾石、细砂等）混合组成填料床，湖水可在床体的填料缝隙中曲折流动或在床体表面流动。</w:t>
      </w:r>
    </w:p>
    <w:p w14:paraId="4AC7AF58">
      <w:pPr>
        <w:spacing w:line="360" w:lineRule="auto"/>
        <w:ind w:firstLine="560"/>
        <w:rPr>
          <w:sz w:val="28"/>
          <w:szCs w:val="28"/>
          <w:lang w:eastAsia="zh-CN"/>
        </w:rPr>
      </w:pPr>
      <w:r>
        <w:rPr>
          <w:rFonts w:hint="eastAsia"/>
          <w:sz w:val="28"/>
          <w:szCs w:val="28"/>
          <w:lang w:eastAsia="zh-CN"/>
        </w:rPr>
        <w:t>在床体的表面宜种植具有净化性能好、成活率高的水生植物，以形成独特的水生植被生境和水体净化系统。</w:t>
      </w:r>
    </w:p>
    <w:p w14:paraId="2477B56E">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.3条文说明】</w:t>
      </w:r>
      <w:r>
        <w:rPr>
          <w:rFonts w:hint="eastAsia"/>
          <w:sz w:val="28"/>
          <w:szCs w:val="28"/>
          <w:lang w:eastAsia="zh-CN"/>
        </w:rPr>
        <w:t>生态湿地建设初期应清除湖湾原有的淤泥所积累的氮磷、重金属等污染物以及表面各类垃圾，在坡度较缓区域通过铺设一定量的卵石并提供种植基质以便种植具有净化功能的水生植物，通过水生植物及其附生微生物的自然降解作用可净化受污染的水体。</w:t>
      </w:r>
    </w:p>
    <w:p w14:paraId="0BD4F3A2">
      <w:pPr>
        <w:spacing w:line="360" w:lineRule="auto"/>
        <w:ind w:firstLine="560"/>
        <w:rPr>
          <w:rFonts w:hint="eastAsia"/>
          <w:sz w:val="28"/>
          <w:szCs w:val="28"/>
          <w:lang w:eastAsia="zh-CN"/>
        </w:rPr>
      </w:pPr>
      <w:r>
        <w:rPr>
          <w:rFonts w:hint="eastAsia"/>
          <w:sz w:val="28"/>
          <w:szCs w:val="28"/>
          <w:lang w:eastAsia="zh-CN"/>
        </w:rPr>
        <w:t>生态湿地可组合种植具有优良净化功能的挺水植物或沉水、浮叶植物，适宜物种的适用性详见附录A。水生植物的选用宜以常年生长兼具景观效果的物种为佳，同时宜选用冬春季相、夏秋季相的物种进行组合，以保障常年的净化效果。</w:t>
      </w:r>
    </w:p>
    <w:p w14:paraId="7E81D022">
      <w:pPr>
        <w:spacing w:line="360" w:lineRule="auto"/>
        <w:ind w:firstLine="560"/>
        <w:rPr>
          <w:sz w:val="28"/>
          <w:szCs w:val="28"/>
          <w:lang w:eastAsia="zh-CN"/>
        </w:rPr>
      </w:pPr>
      <w:r>
        <w:rPr>
          <w:rFonts w:hint="eastAsia"/>
          <w:sz w:val="28"/>
          <w:szCs w:val="28"/>
          <w:lang w:eastAsia="zh-CN"/>
        </w:rPr>
        <w:t>生态湿地的进水前端宜设置具有配水功能的木桩栅栏以起到稳定湿地种植床的作用，防止种植床内填料的流失以及植被受到风浪、水流等物理性破坏，同时可将湖水进行适度导流分配。</w:t>
      </w:r>
    </w:p>
    <w:p w14:paraId="69FB5394">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6</w:t>
      </w:r>
      <w:r>
        <w:rPr>
          <w:sz w:val="28"/>
          <w:szCs w:val="28"/>
          <w:lang w:eastAsia="zh-CN"/>
        </w:rPr>
        <w:t>.4条文说明】</w:t>
      </w:r>
      <w:r>
        <w:rPr>
          <w:rFonts w:hint="eastAsia"/>
          <w:sz w:val="28"/>
          <w:szCs w:val="28"/>
          <w:lang w:eastAsia="zh-CN"/>
        </w:rPr>
        <w:t>植物生存养护期应注意对枯死植物的清理及收割，防止植物死亡对水体造成的二次污染。在植物萌发期及生长初期（冬春季相为10~12月，夏秋季相为3~4月）应避免水位过快增加或长时间高水位（持续2个月及以上）而导致植物淹死。</w:t>
      </w:r>
    </w:p>
    <w:p w14:paraId="0AB204FC">
      <w:pPr>
        <w:pStyle w:val="4"/>
        <w:numPr>
          <w:ilvl w:val="2"/>
          <w:numId w:val="0"/>
        </w:numPr>
        <w:bidi w:val="0"/>
        <w:ind w:left="0" w:leftChars="0" w:firstLine="0" w:firstLineChars="0"/>
        <w:rPr>
          <w:rFonts w:hint="default" w:ascii="Times New Roman" w:hAnsi="Times New Roman" w:eastAsia="宋体" w:cs="Times New Roman"/>
          <w:lang w:val="en-US"/>
        </w:rPr>
      </w:pPr>
      <w:bookmarkStart w:id="77" w:name="_Toc6427"/>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7</w:t>
      </w:r>
      <w:r>
        <w:rPr>
          <w:rFonts w:hint="eastAsia" w:cs="Times New Roman"/>
          <w:sz w:val="24"/>
          <w:szCs w:val="24"/>
          <w:lang w:val="en-US" w:eastAsia="zh-CN" w:bidi="ar-SA"/>
        </w:rPr>
        <w:t>曝气增氧</w:t>
      </w:r>
      <w:bookmarkEnd w:id="77"/>
    </w:p>
    <w:p w14:paraId="68C23548">
      <w:pPr>
        <w:ind w:firstLine="560"/>
        <w:rPr>
          <w:sz w:val="28"/>
          <w:szCs w:val="24"/>
          <w:lang w:eastAsia="zh-CN"/>
        </w:rPr>
      </w:pPr>
      <w:r>
        <w:rPr>
          <w:sz w:val="28"/>
          <w:szCs w:val="24"/>
          <w:lang w:eastAsia="zh-CN"/>
        </w:rPr>
        <w:t>本文件对</w:t>
      </w:r>
      <w:r>
        <w:rPr>
          <w:rFonts w:hint="eastAsia"/>
          <w:sz w:val="28"/>
          <w:szCs w:val="24"/>
          <w:lang w:eastAsia="zh-CN"/>
        </w:rPr>
        <w:t>曝气增氧的适用范围、技术要点和限制因素</w:t>
      </w:r>
      <w:r>
        <w:rPr>
          <w:sz w:val="28"/>
          <w:szCs w:val="24"/>
          <w:lang w:eastAsia="zh-CN"/>
        </w:rPr>
        <w:t>进行了相关说明。</w:t>
      </w:r>
    </w:p>
    <w:p w14:paraId="4B6BD410">
      <w:pPr>
        <w:ind w:firstLine="560"/>
        <w:rPr>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.1条文说明】</w:t>
      </w:r>
      <w:r>
        <w:rPr>
          <w:rFonts w:hint="eastAsia"/>
          <w:sz w:val="28"/>
          <w:szCs w:val="28"/>
          <w:lang w:eastAsia="zh-CN"/>
        </w:rPr>
        <w:t>缺氧或厌氧状态的水体。</w:t>
      </w:r>
    </w:p>
    <w:p w14:paraId="4678ED0A">
      <w:pPr>
        <w:ind w:firstLine="560"/>
        <w:rPr>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.2条文说明】</w:t>
      </w:r>
      <w:r>
        <w:rPr>
          <w:rFonts w:hint="eastAsia"/>
          <w:sz w:val="28"/>
          <w:szCs w:val="28"/>
          <w:lang w:eastAsia="zh-CN"/>
        </w:rPr>
        <w:t>可利用瀑布、喷泉、假山等自然跌水促进上、下层水体的混合，加速水体增氧过程，提高水体溶解氧含量。可利用机械设备进行人工曝气复氧，一般有固定式充氧站和移动充氧平台两种形式。固定式充氧站有鼓风曝气、纯氧曝气和机械曝气3种形式。当水体水深较深或需要长期曝气增氧时，宜采用鼓风曝气或纯氧曝气的形式，即在岸上设置一个固定的鼓风机房或液氧站，通过管道将空气或氧气引入设置在水体底部的曝气扩散系统，达到增加水中溶解氧的目的。当水体水深较浅或需要短时间曝气增氧时，一般采用机械曝气的形式，即将机械曝气设备（多为浮桶式结构）直接固定安装在湖库中对水体进行曝气，以增加水体中的溶解氧。移动式充氧平台主要用于紧急情况下对局部水体进行增氧，目前应用较为便捷的为曝气船。</w:t>
      </w:r>
    </w:p>
    <w:p w14:paraId="748B0C37">
      <w:pPr>
        <w:spacing w:line="360" w:lineRule="auto"/>
        <w:ind w:firstLine="560"/>
        <w:rPr>
          <w:rFonts w:hint="eastAsia"/>
          <w:sz w:val="28"/>
          <w:szCs w:val="28"/>
          <w:lang w:eastAsia="zh-CN"/>
        </w:rPr>
      </w:pPr>
      <w:r>
        <w:rPr>
          <w:sz w:val="28"/>
          <w:szCs w:val="28"/>
          <w:lang w:eastAsia="zh-CN"/>
        </w:rPr>
        <w:t>【文件</w:t>
      </w:r>
      <w:r>
        <w:rPr>
          <w:rFonts w:hint="eastAsia"/>
          <w:sz w:val="28"/>
          <w:szCs w:val="28"/>
          <w:lang w:val="en-US" w:eastAsia="zh-CN"/>
        </w:rPr>
        <w:t>7</w:t>
      </w:r>
      <w:r>
        <w:rPr>
          <w:sz w:val="28"/>
          <w:szCs w:val="28"/>
          <w:lang w:eastAsia="zh-CN"/>
        </w:rPr>
        <w:t>.3条文说明】</w:t>
      </w:r>
      <w:r>
        <w:rPr>
          <w:rFonts w:hint="eastAsia"/>
          <w:sz w:val="28"/>
          <w:szCs w:val="28"/>
          <w:lang w:eastAsia="zh-CN"/>
        </w:rPr>
        <w:t>曝气增氧过程会产生大量泡沫，对景观要求比较高的水体应考虑增加泡沫消除措施。固定式充氧站建设应考虑水体周边建设用地和动力条件。曝气设备的运行需科学调度，以免造成资金、物力、人力上的浪费。</w:t>
      </w:r>
    </w:p>
    <w:p w14:paraId="4028E815">
      <w:pPr>
        <w:pStyle w:val="4"/>
        <w:numPr>
          <w:ilvl w:val="2"/>
          <w:numId w:val="0"/>
        </w:numPr>
        <w:bidi w:val="0"/>
        <w:ind w:left="0" w:leftChars="0" w:firstLine="0" w:firstLineChars="0"/>
        <w:rPr>
          <w:rFonts w:hint="default" w:ascii="Times New Roman" w:hAnsi="Times New Roman" w:eastAsia="宋体" w:cs="Times New Roman"/>
          <w:lang w:val="en-US"/>
        </w:rPr>
      </w:pPr>
      <w:bookmarkStart w:id="78" w:name="_Toc2085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8</w:t>
      </w:r>
      <w:r>
        <w:rPr>
          <w:rFonts w:hint="eastAsia" w:cs="Times New Roman"/>
          <w:sz w:val="24"/>
          <w:szCs w:val="24"/>
          <w:lang w:val="en-US" w:eastAsia="zh-CN" w:bidi="ar-SA"/>
        </w:rPr>
        <w:t>人工浮岛</w:t>
      </w:r>
      <w:bookmarkEnd w:id="78"/>
    </w:p>
    <w:p w14:paraId="14F0EBDB">
      <w:pPr>
        <w:ind w:firstLine="560"/>
        <w:rPr>
          <w:sz w:val="28"/>
          <w:szCs w:val="24"/>
          <w:lang w:eastAsia="zh-CN"/>
        </w:rPr>
      </w:pPr>
      <w:r>
        <w:rPr>
          <w:sz w:val="28"/>
          <w:szCs w:val="24"/>
          <w:lang w:eastAsia="zh-CN"/>
        </w:rPr>
        <w:t>本文件对</w:t>
      </w:r>
      <w:r>
        <w:rPr>
          <w:rFonts w:hint="eastAsia"/>
          <w:sz w:val="28"/>
          <w:szCs w:val="24"/>
          <w:lang w:val="en-US" w:eastAsia="zh-CN"/>
        </w:rPr>
        <w:t>人工浮岛</w:t>
      </w:r>
      <w:r>
        <w:rPr>
          <w:rFonts w:hint="eastAsia"/>
          <w:sz w:val="28"/>
          <w:szCs w:val="24"/>
          <w:lang w:eastAsia="zh-CN"/>
        </w:rPr>
        <w:t>的适用范围、技术要点和限制因素</w:t>
      </w:r>
      <w:r>
        <w:rPr>
          <w:sz w:val="28"/>
          <w:szCs w:val="24"/>
          <w:lang w:eastAsia="zh-CN"/>
        </w:rPr>
        <w:t>进行了相关说明。</w:t>
      </w:r>
    </w:p>
    <w:p w14:paraId="63F57E84">
      <w:pPr>
        <w:ind w:firstLine="560"/>
        <w:rPr>
          <w:sz w:val="28"/>
          <w:szCs w:val="28"/>
          <w:lang w:eastAsia="zh-CN"/>
        </w:rPr>
      </w:pPr>
      <w:r>
        <w:rPr>
          <w:sz w:val="28"/>
          <w:szCs w:val="28"/>
          <w:lang w:eastAsia="zh-CN"/>
        </w:rPr>
        <w:t>【文件</w:t>
      </w:r>
      <w:r>
        <w:rPr>
          <w:rFonts w:hint="eastAsia"/>
          <w:sz w:val="28"/>
          <w:szCs w:val="28"/>
          <w:lang w:val="en-US" w:eastAsia="zh-CN"/>
        </w:rPr>
        <w:t>8</w:t>
      </w:r>
      <w:r>
        <w:rPr>
          <w:sz w:val="28"/>
          <w:szCs w:val="28"/>
          <w:lang w:eastAsia="zh-CN"/>
        </w:rPr>
        <w:t>.1条文说明】</w:t>
      </w:r>
      <w:r>
        <w:rPr>
          <w:rFonts w:hint="eastAsia"/>
          <w:sz w:val="28"/>
          <w:szCs w:val="28"/>
          <w:lang w:eastAsia="zh-CN"/>
        </w:rPr>
        <w:t>水体深度较深、底质条件较差、岸带坡度较大浅水区域面积较小等不利于水生植物直接移栽定植的水体。</w:t>
      </w:r>
    </w:p>
    <w:p w14:paraId="5788990D">
      <w:pPr>
        <w:ind w:firstLine="560"/>
        <w:rPr>
          <w:sz w:val="28"/>
          <w:szCs w:val="28"/>
          <w:lang w:eastAsia="zh-CN"/>
        </w:rPr>
      </w:pPr>
      <w:r>
        <w:rPr>
          <w:sz w:val="28"/>
          <w:szCs w:val="28"/>
          <w:lang w:eastAsia="zh-CN"/>
        </w:rPr>
        <w:t>【文件</w:t>
      </w:r>
      <w:r>
        <w:rPr>
          <w:rFonts w:hint="eastAsia"/>
          <w:sz w:val="28"/>
          <w:szCs w:val="28"/>
          <w:lang w:val="en-US" w:eastAsia="zh-CN"/>
        </w:rPr>
        <w:t>8</w:t>
      </w:r>
      <w:r>
        <w:rPr>
          <w:sz w:val="28"/>
          <w:szCs w:val="28"/>
          <w:lang w:eastAsia="zh-CN"/>
        </w:rPr>
        <w:t>.2条文说明】</w:t>
      </w:r>
      <w:r>
        <w:rPr>
          <w:rFonts w:hint="eastAsia"/>
          <w:sz w:val="28"/>
          <w:szCs w:val="28"/>
          <w:lang w:eastAsia="zh-CN"/>
        </w:rPr>
        <w:t>生态浮床是植物与漂浮载体的结合体，一般由五个部分组成，即浮床框体、浮床床体、浮床基质、浮床植物以及水下固定装置。浮床框体选择要坚固、耐用、抗风浪，目前一般用PVC管、不锈钢管、木材、毛竹等作为框架。浮床床体目前使用最多的是聚苯乙烯泡沫板。此外还有陶粒、蛭石、珍珠岩等无机材料。浮床基质目前使用最多材料为竹纤维。浮床植物配置的原则适应水体条件、根系发达、根茎繁殖能力强、植物生长快、生物量大、植株优美、具有一定的观赏性。充分考虑各物种的季节性，四季都能发挥水质净化作用为最佳。优先选择本地种。目前使用最广的浮床植物有美人蕉、芦苇、荻、香蒲、菖蒲、石菖蒲、凤眼莲等。在实际工作中要根据现场气候、水质条件等影响因素进行植物筛选。水下固定装置要视底质状况而定，常用的有重量式、锚固式、杭式等。一般在浮床床体和水下固定装置之间设置一个小型浮子。浮床的大小一般来说边长1～5m不等，形状以四边形居多，也有三角形、六角形。</w:t>
      </w:r>
    </w:p>
    <w:p w14:paraId="2605F7F7">
      <w:pPr>
        <w:pStyle w:val="44"/>
        <w:widowControl w:val="0"/>
        <w:adjustRightInd w:val="0"/>
        <w:snapToGrid w:val="0"/>
        <w:spacing w:line="360" w:lineRule="auto"/>
        <w:ind w:firstLine="560"/>
        <w:rPr>
          <w:rFonts w:ascii="Times New Roman"/>
          <w:sz w:val="28"/>
          <w:szCs w:val="28"/>
        </w:rPr>
      </w:pPr>
      <w:r>
        <w:rPr>
          <w:sz w:val="28"/>
          <w:szCs w:val="28"/>
          <w:lang w:eastAsia="zh-CN"/>
        </w:rPr>
        <w:t>【文件</w:t>
      </w:r>
      <w:r>
        <w:rPr>
          <w:rFonts w:hint="eastAsia"/>
          <w:sz w:val="28"/>
          <w:szCs w:val="28"/>
          <w:lang w:val="en-US" w:eastAsia="zh-CN"/>
        </w:rPr>
        <w:t>8</w:t>
      </w:r>
      <w:r>
        <w:rPr>
          <w:sz w:val="28"/>
          <w:szCs w:val="28"/>
          <w:lang w:eastAsia="zh-CN"/>
        </w:rPr>
        <w:t>.3条文说明】</w:t>
      </w:r>
      <w:r>
        <w:rPr>
          <w:rFonts w:hint="eastAsia"/>
          <w:sz w:val="28"/>
          <w:szCs w:val="28"/>
          <w:lang w:eastAsia="zh-CN"/>
        </w:rPr>
        <w:t>浮床植物的补种与清理较难。对生长不好的植物进行补种，在植物枯萎之前对其地上部分进行不同强度的收割。浮床支架的稳定与修缮较难。对支架进行定期的检查，将不稳定的支架进行加固，更换掉老旧的支架。水质过差的水体不宜采用生态浮床，水体条件要能满足浮床植物的生长</w:t>
      </w:r>
      <w:r>
        <w:rPr>
          <w:rFonts w:hint="eastAsia" w:ascii="Times New Roman"/>
          <w:sz w:val="28"/>
          <w:szCs w:val="28"/>
        </w:rPr>
        <w:t>。</w:t>
      </w:r>
    </w:p>
    <w:p w14:paraId="79B0CB7E">
      <w:pPr>
        <w:pStyle w:val="4"/>
        <w:numPr>
          <w:ilvl w:val="2"/>
          <w:numId w:val="0"/>
        </w:numPr>
        <w:bidi w:val="0"/>
        <w:ind w:left="0" w:leftChars="0" w:firstLine="0" w:firstLineChars="0"/>
        <w:rPr>
          <w:rFonts w:ascii="Times New Roman" w:hAnsi="Times New Roman" w:eastAsia="宋体" w:cs="Times New Roman"/>
        </w:rPr>
      </w:pPr>
      <w:bookmarkStart w:id="79" w:name="_Hlk95492184"/>
      <w:bookmarkStart w:id="80" w:name="_Toc9552"/>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9</w:t>
      </w:r>
      <w:bookmarkEnd w:id="79"/>
      <w:bookmarkStart w:id="81" w:name="_Toc32060"/>
      <w:r>
        <w:rPr>
          <w:rFonts w:hint="eastAsia" w:ascii="Times New Roman" w:hAnsi="Times New Roman" w:eastAsia="宋体" w:cs="Times New Roman"/>
        </w:rPr>
        <w:t>化学絮凝</w:t>
      </w:r>
      <w:bookmarkEnd w:id="80"/>
      <w:bookmarkEnd w:id="81"/>
    </w:p>
    <w:p w14:paraId="7A453876">
      <w:pPr>
        <w:ind w:firstLine="560"/>
        <w:rPr>
          <w:sz w:val="28"/>
          <w:szCs w:val="24"/>
          <w:lang w:eastAsia="zh-CN"/>
        </w:rPr>
      </w:pPr>
      <w:r>
        <w:rPr>
          <w:sz w:val="28"/>
          <w:szCs w:val="24"/>
          <w:lang w:eastAsia="zh-CN"/>
        </w:rPr>
        <w:t>本文件对</w:t>
      </w:r>
      <w:r>
        <w:rPr>
          <w:rFonts w:hint="eastAsia"/>
          <w:sz w:val="28"/>
          <w:szCs w:val="24"/>
          <w:lang w:eastAsia="zh-CN"/>
        </w:rPr>
        <w:t>化学絮凝的适用范围、技术要点和限制因素</w:t>
      </w:r>
      <w:r>
        <w:rPr>
          <w:sz w:val="28"/>
          <w:szCs w:val="24"/>
          <w:lang w:eastAsia="zh-CN"/>
        </w:rPr>
        <w:t>进行了相关说明。</w:t>
      </w:r>
    </w:p>
    <w:p w14:paraId="42DD022E">
      <w:pPr>
        <w:ind w:firstLine="560"/>
        <w:rPr>
          <w:sz w:val="28"/>
          <w:szCs w:val="28"/>
          <w:lang w:eastAsia="zh-CN"/>
        </w:rPr>
      </w:pPr>
      <w:r>
        <w:rPr>
          <w:sz w:val="28"/>
          <w:szCs w:val="28"/>
          <w:lang w:eastAsia="zh-CN"/>
        </w:rPr>
        <w:t>【文件</w:t>
      </w:r>
      <w:r>
        <w:rPr>
          <w:rFonts w:hint="eastAsia"/>
          <w:sz w:val="28"/>
          <w:szCs w:val="28"/>
          <w:lang w:val="en-US" w:eastAsia="zh-CN"/>
        </w:rPr>
        <w:t>9</w:t>
      </w:r>
      <w:r>
        <w:rPr>
          <w:sz w:val="28"/>
          <w:szCs w:val="28"/>
          <w:lang w:eastAsia="zh-CN"/>
        </w:rPr>
        <w:t>.1条文说明】</w:t>
      </w:r>
      <w:r>
        <w:rPr>
          <w:rFonts w:hint="eastAsia"/>
          <w:sz w:val="28"/>
          <w:szCs w:val="28"/>
          <w:lang w:eastAsia="zh-CN"/>
        </w:rPr>
        <w:t>较适用于污染严重的封闭水体。水源地、养殖水域等敏感性水体不宜采用。</w:t>
      </w:r>
    </w:p>
    <w:p w14:paraId="690897DC">
      <w:pPr>
        <w:ind w:firstLine="560"/>
        <w:rPr>
          <w:sz w:val="28"/>
          <w:szCs w:val="28"/>
          <w:lang w:eastAsia="zh-CN"/>
        </w:rPr>
      </w:pPr>
      <w:r>
        <w:rPr>
          <w:sz w:val="28"/>
          <w:szCs w:val="28"/>
          <w:lang w:eastAsia="zh-CN"/>
        </w:rPr>
        <w:t>【文件</w:t>
      </w:r>
      <w:r>
        <w:rPr>
          <w:rFonts w:hint="eastAsia"/>
          <w:sz w:val="28"/>
          <w:szCs w:val="28"/>
          <w:lang w:val="en-US" w:eastAsia="zh-CN"/>
        </w:rPr>
        <w:t>9</w:t>
      </w:r>
      <w:r>
        <w:rPr>
          <w:sz w:val="28"/>
          <w:szCs w:val="28"/>
          <w:lang w:eastAsia="zh-CN"/>
        </w:rPr>
        <w:t>.2条文说明】</w:t>
      </w:r>
      <w:r>
        <w:rPr>
          <w:rFonts w:hint="eastAsia"/>
          <w:sz w:val="28"/>
          <w:szCs w:val="28"/>
          <w:lang w:eastAsia="zh-CN"/>
        </w:rPr>
        <w:t>通过物理化学作用使水体中处于分散状态的有机物转化为聚集状态，使难于沉降的细颗粒物变为可重力分离的粗颗粒物，然后从水中分离出去。主要物理化学过程包括脱稳凝聚、金属离子与有机物分子相作用生成不溶性复合沉淀物以及氢氧化物胶体对有机物的物理化学吸附等。常用化学物质有硫酸亚铁、氯化亚铁、硫酸铝、碱式氯化铝、明矾、聚丙烯酞胺、聚丙烯酸等混凝剂。具有反应迅速、见效快的特点。</w:t>
      </w:r>
    </w:p>
    <w:p w14:paraId="313E50B5">
      <w:pPr>
        <w:pStyle w:val="44"/>
        <w:adjustRightInd w:val="0"/>
        <w:snapToGrid w:val="0"/>
        <w:spacing w:line="360" w:lineRule="auto"/>
        <w:ind w:firstLine="560"/>
        <w:rPr>
          <w:rFonts w:hint="default" w:ascii="Times New Roman" w:hAnsi="Times New Roman" w:cs="Times New Roman"/>
          <w:sz w:val="28"/>
          <w:szCs w:val="28"/>
        </w:rPr>
      </w:pPr>
      <w:r>
        <w:rPr>
          <w:sz w:val="28"/>
          <w:szCs w:val="28"/>
          <w:lang w:eastAsia="zh-CN"/>
        </w:rPr>
        <w:t>【文件</w:t>
      </w:r>
      <w:r>
        <w:rPr>
          <w:rFonts w:hint="eastAsia"/>
          <w:sz w:val="28"/>
          <w:szCs w:val="28"/>
          <w:lang w:val="en-US" w:eastAsia="zh-CN"/>
        </w:rPr>
        <w:t>9</w:t>
      </w:r>
      <w:r>
        <w:rPr>
          <w:sz w:val="28"/>
          <w:szCs w:val="28"/>
          <w:lang w:eastAsia="zh-CN"/>
        </w:rPr>
        <w:t>.3条文说明】</w:t>
      </w:r>
      <w:r>
        <w:rPr>
          <w:rFonts w:hint="eastAsia"/>
          <w:sz w:val="28"/>
          <w:szCs w:val="28"/>
          <w:lang w:eastAsia="zh-CN"/>
        </w:rPr>
        <w:t>不能将氮、磷等营养物质清除出水体，不能从根本上解决水体的富营养化。化学药物易对水生生物产生毒性效应，且对生态系统造成二次污染，一般作为临时应急措施使用</w:t>
      </w:r>
      <w:r>
        <w:rPr>
          <w:rFonts w:hint="default" w:ascii="Times New Roman" w:hAnsi="Times New Roman" w:cs="Times New Roman"/>
          <w:sz w:val="28"/>
          <w:szCs w:val="28"/>
        </w:rPr>
        <w:t>。</w:t>
      </w:r>
    </w:p>
    <w:p w14:paraId="2F28FDDB">
      <w:pPr>
        <w:pStyle w:val="4"/>
        <w:numPr>
          <w:ilvl w:val="2"/>
          <w:numId w:val="0"/>
        </w:numPr>
        <w:bidi w:val="0"/>
        <w:ind w:left="0" w:leftChars="0" w:firstLine="0" w:firstLineChars="0"/>
        <w:rPr>
          <w:rFonts w:ascii="Times New Roman" w:hAnsi="Times New Roman" w:eastAsia="宋体" w:cs="Times New Roman"/>
        </w:rPr>
      </w:pPr>
      <w:bookmarkStart w:id="82" w:name="_Toc6519"/>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10</w:t>
      </w:r>
      <w:bookmarkStart w:id="83" w:name="_Toc18561"/>
      <w:r>
        <w:rPr>
          <w:rFonts w:hint="eastAsia" w:ascii="Times New Roman" w:hAnsi="Times New Roman" w:eastAsia="宋体" w:cs="Times New Roman"/>
        </w:rPr>
        <w:t>人工水草</w:t>
      </w:r>
      <w:bookmarkEnd w:id="82"/>
      <w:bookmarkEnd w:id="83"/>
    </w:p>
    <w:p w14:paraId="68EE98C8">
      <w:pPr>
        <w:ind w:firstLine="560"/>
        <w:rPr>
          <w:sz w:val="28"/>
          <w:szCs w:val="24"/>
          <w:lang w:eastAsia="zh-CN"/>
        </w:rPr>
      </w:pPr>
      <w:r>
        <w:rPr>
          <w:sz w:val="28"/>
          <w:szCs w:val="24"/>
          <w:lang w:eastAsia="zh-CN"/>
        </w:rPr>
        <w:t>本文件对</w:t>
      </w:r>
      <w:r>
        <w:rPr>
          <w:rFonts w:hint="eastAsia"/>
          <w:sz w:val="28"/>
          <w:szCs w:val="24"/>
          <w:lang w:eastAsia="zh-CN"/>
        </w:rPr>
        <w:t>人工水草的适用范围、技术要点和限制因素</w:t>
      </w:r>
      <w:r>
        <w:rPr>
          <w:sz w:val="28"/>
          <w:szCs w:val="24"/>
          <w:lang w:eastAsia="zh-CN"/>
        </w:rPr>
        <w:t>进行了相关说明。</w:t>
      </w:r>
    </w:p>
    <w:p w14:paraId="1B406C9F">
      <w:pPr>
        <w:ind w:firstLine="560"/>
        <w:rPr>
          <w:sz w:val="28"/>
          <w:szCs w:val="28"/>
          <w:lang w:eastAsia="zh-CN"/>
        </w:rPr>
      </w:pPr>
      <w:r>
        <w:rPr>
          <w:sz w:val="28"/>
          <w:szCs w:val="28"/>
          <w:lang w:eastAsia="zh-CN"/>
        </w:rPr>
        <w:t>【文件</w:t>
      </w:r>
      <w:r>
        <w:rPr>
          <w:rFonts w:hint="eastAsia"/>
          <w:sz w:val="28"/>
          <w:szCs w:val="28"/>
          <w:lang w:val="en-US" w:eastAsia="zh-CN"/>
        </w:rPr>
        <w:t>10</w:t>
      </w:r>
      <w:r>
        <w:rPr>
          <w:sz w:val="28"/>
          <w:szCs w:val="28"/>
          <w:lang w:eastAsia="zh-CN"/>
        </w:rPr>
        <w:t>.1条文说明】</w:t>
      </w:r>
      <w:r>
        <w:rPr>
          <w:rFonts w:hint="eastAsia"/>
          <w:sz w:val="28"/>
          <w:szCs w:val="28"/>
          <w:lang w:eastAsia="zh-CN"/>
        </w:rPr>
        <w:t>湖库水域面积较大，浅水区域较少。湖库水深过大或湖底基质过硬，缺乏建设湾塘湿地和水生植物种植条件。非常适于城市中小水体的直接净化。</w:t>
      </w:r>
    </w:p>
    <w:p w14:paraId="50792650">
      <w:pPr>
        <w:ind w:firstLine="560"/>
        <w:rPr>
          <w:rFonts w:hint="eastAsia"/>
          <w:sz w:val="28"/>
          <w:szCs w:val="28"/>
          <w:lang w:eastAsia="zh-CN"/>
        </w:rPr>
      </w:pPr>
      <w:r>
        <w:rPr>
          <w:sz w:val="28"/>
          <w:szCs w:val="28"/>
          <w:lang w:eastAsia="zh-CN"/>
        </w:rPr>
        <w:t>【文件</w:t>
      </w:r>
      <w:r>
        <w:rPr>
          <w:rFonts w:hint="eastAsia"/>
          <w:sz w:val="28"/>
          <w:szCs w:val="28"/>
          <w:lang w:val="en-US" w:eastAsia="zh-CN"/>
        </w:rPr>
        <w:t>10</w:t>
      </w:r>
      <w:r>
        <w:rPr>
          <w:sz w:val="28"/>
          <w:szCs w:val="28"/>
          <w:lang w:eastAsia="zh-CN"/>
        </w:rPr>
        <w:t>.2条文说明】</w:t>
      </w:r>
      <w:r>
        <w:rPr>
          <w:rFonts w:hint="eastAsia"/>
          <w:sz w:val="28"/>
          <w:szCs w:val="28"/>
          <w:lang w:eastAsia="zh-CN"/>
        </w:rPr>
        <w:t>材质要求化学与生物稳定性强，不溶出有害物质，多以高分子聚合物为材料，根据实际的需要，构建成各种形状，并可具有不同的表面性质，以便最好地满足生物特征的需要，它实质上就是一类新型生物膜载体。</w:t>
      </w:r>
    </w:p>
    <w:p w14:paraId="6AFF9AD6">
      <w:pPr>
        <w:ind w:firstLine="560"/>
        <w:rPr>
          <w:rFonts w:hint="eastAsia"/>
          <w:sz w:val="28"/>
          <w:szCs w:val="28"/>
          <w:lang w:eastAsia="zh-CN"/>
        </w:rPr>
      </w:pPr>
      <w:r>
        <w:rPr>
          <w:rFonts w:hint="eastAsia"/>
          <w:sz w:val="28"/>
          <w:szCs w:val="28"/>
          <w:lang w:eastAsia="zh-CN"/>
        </w:rPr>
        <w:t>在人工水草表面形成一层生物膜。该层生物膜是由菌类、藻类、原生动物以及后生动物组成的立体微生物生态系统，可以有效提高水体透明度以及吸附降解水中的氮、磷、有机物、重金属等污染物。</w:t>
      </w:r>
    </w:p>
    <w:p w14:paraId="64AC94E9">
      <w:pPr>
        <w:ind w:firstLine="560"/>
        <w:rPr>
          <w:rFonts w:hint="eastAsia"/>
          <w:sz w:val="28"/>
          <w:szCs w:val="28"/>
          <w:lang w:eastAsia="zh-CN"/>
        </w:rPr>
      </w:pPr>
      <w:r>
        <w:rPr>
          <w:rFonts w:hint="eastAsia"/>
          <w:sz w:val="28"/>
          <w:szCs w:val="28"/>
          <w:lang w:eastAsia="zh-CN"/>
        </w:rPr>
        <w:t>目前人工水草主要类型有阿科曼生态基、绳状人工水草、多还串联人工水草、臭轮藻型人工水草、生物飘带、涤纶式组合生物填料等类型。</w:t>
      </w:r>
    </w:p>
    <w:p w14:paraId="19C6FA39">
      <w:pPr>
        <w:ind w:firstLine="560"/>
        <w:rPr>
          <w:rFonts w:hint="eastAsia"/>
          <w:sz w:val="28"/>
          <w:szCs w:val="28"/>
          <w:lang w:eastAsia="zh-CN"/>
        </w:rPr>
      </w:pPr>
      <w:r>
        <w:rPr>
          <w:rFonts w:hint="eastAsia"/>
          <w:sz w:val="28"/>
          <w:szCs w:val="28"/>
          <w:lang w:eastAsia="zh-CN"/>
        </w:rPr>
        <w:t>建议布设用量1.5~2.5 m</w:t>
      </w:r>
      <w:r>
        <w:rPr>
          <w:rFonts w:hint="eastAsia"/>
          <w:sz w:val="28"/>
          <w:szCs w:val="28"/>
          <w:vertAlign w:val="superscript"/>
          <w:lang w:eastAsia="zh-CN"/>
        </w:rPr>
        <w:t>2</w:t>
      </w:r>
      <w:r>
        <w:rPr>
          <w:rFonts w:hint="eastAsia"/>
          <w:sz w:val="28"/>
          <w:szCs w:val="28"/>
          <w:lang w:eastAsia="zh-CN"/>
        </w:rPr>
        <w:t>/m</w:t>
      </w:r>
      <w:r>
        <w:rPr>
          <w:rFonts w:hint="eastAsia"/>
          <w:sz w:val="28"/>
          <w:szCs w:val="28"/>
          <w:vertAlign w:val="superscript"/>
          <w:lang w:eastAsia="zh-CN"/>
        </w:rPr>
        <w:t>3</w:t>
      </w:r>
      <w:r>
        <w:rPr>
          <w:rFonts w:hint="eastAsia"/>
          <w:sz w:val="28"/>
          <w:szCs w:val="28"/>
          <w:lang w:eastAsia="zh-CN"/>
        </w:rPr>
        <w:t>。在部分水深较大的湖泊治理中，可悬垂于人工浮岛的底部。</w:t>
      </w:r>
    </w:p>
    <w:p w14:paraId="7A642E4D">
      <w:pPr>
        <w:pStyle w:val="44"/>
        <w:widowControl w:val="0"/>
        <w:adjustRightInd w:val="0"/>
        <w:snapToGrid w:val="0"/>
        <w:spacing w:line="360" w:lineRule="auto"/>
        <w:ind w:firstLine="560"/>
        <w:rPr>
          <w:rFonts w:ascii="Times New Roman"/>
          <w:sz w:val="28"/>
          <w:szCs w:val="28"/>
        </w:rPr>
      </w:pPr>
      <w:r>
        <w:rPr>
          <w:sz w:val="28"/>
          <w:szCs w:val="28"/>
          <w:lang w:eastAsia="zh-CN"/>
        </w:rPr>
        <w:t>【文件</w:t>
      </w:r>
      <w:r>
        <w:rPr>
          <w:rFonts w:hint="eastAsia"/>
          <w:sz w:val="28"/>
          <w:szCs w:val="28"/>
          <w:lang w:val="en-US" w:eastAsia="zh-CN"/>
        </w:rPr>
        <w:t>10</w:t>
      </w:r>
      <w:r>
        <w:rPr>
          <w:sz w:val="28"/>
          <w:szCs w:val="28"/>
          <w:lang w:eastAsia="zh-CN"/>
        </w:rPr>
        <w:t>.3条文说明】</w:t>
      </w:r>
      <w:r>
        <w:rPr>
          <w:rFonts w:hint="eastAsia"/>
          <w:sz w:val="28"/>
          <w:szCs w:val="28"/>
          <w:lang w:eastAsia="zh-CN"/>
        </w:rPr>
        <w:t>在实际应用中常常由于水体的流动导致纠缠成束，人工水草表面积减少。使用一定时间后需要更换</w:t>
      </w:r>
      <w:r>
        <w:rPr>
          <w:rFonts w:hint="eastAsia" w:ascii="Times New Roman"/>
          <w:sz w:val="28"/>
          <w:szCs w:val="28"/>
        </w:rPr>
        <w:t>。</w:t>
      </w:r>
    </w:p>
    <w:p w14:paraId="44C124C0">
      <w:pPr>
        <w:pStyle w:val="4"/>
        <w:numPr>
          <w:ilvl w:val="2"/>
          <w:numId w:val="0"/>
        </w:numPr>
        <w:bidi w:val="0"/>
        <w:ind w:left="0" w:leftChars="0" w:firstLine="0" w:firstLineChars="0"/>
        <w:rPr>
          <w:rFonts w:ascii="Times New Roman" w:hAnsi="Times New Roman" w:eastAsia="宋体" w:cs="Times New Roman"/>
        </w:rPr>
      </w:pPr>
      <w:bookmarkStart w:id="84" w:name="_Toc31359"/>
      <w:r>
        <w:rPr>
          <w:rFonts w:hint="eastAsia" w:cs="Times New Roman"/>
          <w:sz w:val="24"/>
          <w:szCs w:val="24"/>
          <w:lang w:val="en-US" w:eastAsia="zh-CN" w:bidi="ar-SA"/>
        </w:rPr>
        <w:t>5.2.</w:t>
      </w:r>
      <w:r>
        <w:rPr>
          <w:rFonts w:hint="default" w:ascii="Times New Roman" w:hAnsi="Times New Roman" w:eastAsia="宋体" w:cs="Times New Roman"/>
          <w:sz w:val="24"/>
          <w:szCs w:val="24"/>
          <w:lang w:val="en-US" w:eastAsia="zh-CN" w:bidi="ar-SA"/>
        </w:rPr>
        <w:t>11</w:t>
      </w:r>
      <w:bookmarkStart w:id="85" w:name="_Toc13610"/>
      <w:r>
        <w:rPr>
          <w:rFonts w:hint="eastAsia" w:ascii="Times New Roman" w:hAnsi="Times New Roman" w:eastAsia="宋体" w:cs="Times New Roman"/>
        </w:rPr>
        <w:t>生态补水</w:t>
      </w:r>
      <w:bookmarkEnd w:id="84"/>
      <w:bookmarkEnd w:id="85"/>
    </w:p>
    <w:p w14:paraId="433565E4">
      <w:pPr>
        <w:ind w:firstLine="560"/>
        <w:rPr>
          <w:sz w:val="28"/>
          <w:szCs w:val="24"/>
          <w:lang w:eastAsia="zh-CN"/>
        </w:rPr>
      </w:pPr>
      <w:r>
        <w:rPr>
          <w:sz w:val="28"/>
          <w:szCs w:val="24"/>
          <w:lang w:eastAsia="zh-CN"/>
        </w:rPr>
        <w:t>本文件对</w:t>
      </w:r>
      <w:r>
        <w:rPr>
          <w:rFonts w:hint="eastAsia"/>
          <w:sz w:val="28"/>
          <w:szCs w:val="24"/>
          <w:lang w:eastAsia="zh-CN"/>
        </w:rPr>
        <w:t>化学絮凝的适用范围、技术要点和限制因素</w:t>
      </w:r>
      <w:r>
        <w:rPr>
          <w:sz w:val="28"/>
          <w:szCs w:val="24"/>
          <w:lang w:eastAsia="zh-CN"/>
        </w:rPr>
        <w:t>进行了相关说明。</w:t>
      </w:r>
    </w:p>
    <w:p w14:paraId="3CADE09A">
      <w:pPr>
        <w:ind w:firstLine="560"/>
        <w:rPr>
          <w:sz w:val="28"/>
          <w:szCs w:val="28"/>
          <w:lang w:eastAsia="zh-CN"/>
        </w:rPr>
      </w:pPr>
      <w:r>
        <w:rPr>
          <w:sz w:val="28"/>
          <w:szCs w:val="28"/>
          <w:lang w:eastAsia="zh-CN"/>
        </w:rPr>
        <w:t>【文件1</w:t>
      </w:r>
      <w:r>
        <w:rPr>
          <w:rFonts w:hint="eastAsia"/>
          <w:sz w:val="28"/>
          <w:szCs w:val="28"/>
          <w:lang w:val="en-US" w:eastAsia="zh-CN"/>
        </w:rPr>
        <w:t>1</w:t>
      </w:r>
      <w:r>
        <w:rPr>
          <w:sz w:val="28"/>
          <w:szCs w:val="28"/>
          <w:lang w:eastAsia="zh-CN"/>
        </w:rPr>
        <w:t>.1条文说明】</w:t>
      </w:r>
      <w:r>
        <w:rPr>
          <w:rFonts w:hint="eastAsia"/>
          <w:sz w:val="28"/>
          <w:szCs w:val="28"/>
          <w:lang w:eastAsia="zh-CN"/>
        </w:rPr>
        <w:t>水体缺少自然水源补给，难以保证生态水位，水量不足造成水质恶化。</w:t>
      </w:r>
    </w:p>
    <w:p w14:paraId="6B0C4743">
      <w:pPr>
        <w:ind w:firstLine="560"/>
        <w:rPr>
          <w:sz w:val="28"/>
          <w:szCs w:val="28"/>
          <w:lang w:eastAsia="zh-CN"/>
        </w:rPr>
      </w:pPr>
      <w:r>
        <w:rPr>
          <w:sz w:val="28"/>
          <w:szCs w:val="28"/>
          <w:lang w:eastAsia="zh-CN"/>
        </w:rPr>
        <w:t>【文件</w:t>
      </w:r>
      <w:r>
        <w:rPr>
          <w:rFonts w:hint="eastAsia"/>
          <w:sz w:val="28"/>
          <w:szCs w:val="28"/>
          <w:lang w:val="en-US" w:eastAsia="zh-CN"/>
        </w:rPr>
        <w:t>11</w:t>
      </w:r>
      <w:r>
        <w:rPr>
          <w:sz w:val="28"/>
          <w:szCs w:val="28"/>
          <w:lang w:eastAsia="zh-CN"/>
        </w:rPr>
        <w:t>.2条文说明】</w:t>
      </w:r>
      <w:r>
        <w:rPr>
          <w:rFonts w:hint="eastAsia"/>
          <w:sz w:val="28"/>
          <w:szCs w:val="28"/>
          <w:lang w:eastAsia="zh-CN"/>
        </w:rPr>
        <w:t>水体天然情况下多年的最低水位可作为水体的最低补水水位。补水水质应达到被补给水体的目标水质标准。引水水源水量不会因向外部补水而使自身的生态环境受到影响。引水通道安全经济，水源地距离受纳水体距离不宜过远。</w:t>
      </w:r>
    </w:p>
    <w:p w14:paraId="3DE1C3E9">
      <w:pPr>
        <w:adjustRightInd w:val="0"/>
        <w:snapToGrid w:val="0"/>
        <w:spacing w:line="360" w:lineRule="auto"/>
        <w:ind w:firstLine="560"/>
        <w:rPr>
          <w:rFonts w:hint="eastAsia"/>
          <w:sz w:val="28"/>
          <w:szCs w:val="24"/>
          <w:lang w:eastAsia="zh-CN"/>
        </w:rPr>
      </w:pPr>
      <w:r>
        <w:rPr>
          <w:sz w:val="28"/>
          <w:szCs w:val="28"/>
          <w:lang w:eastAsia="zh-CN"/>
        </w:rPr>
        <w:t>【文件1</w:t>
      </w:r>
      <w:r>
        <w:rPr>
          <w:rFonts w:hint="eastAsia"/>
          <w:sz w:val="28"/>
          <w:szCs w:val="28"/>
          <w:lang w:val="en-US" w:eastAsia="zh-CN"/>
        </w:rPr>
        <w:t>1</w:t>
      </w:r>
      <w:r>
        <w:rPr>
          <w:sz w:val="28"/>
          <w:szCs w:val="28"/>
          <w:lang w:eastAsia="zh-CN"/>
        </w:rPr>
        <w:t>.3条文说明】</w:t>
      </w:r>
      <w:r>
        <w:rPr>
          <w:rFonts w:hint="eastAsia"/>
          <w:sz w:val="28"/>
          <w:szCs w:val="28"/>
          <w:lang w:eastAsia="zh-CN"/>
        </w:rPr>
        <w:t>受到地形地质、施工条件等因素的限制。对于水源水质部分参数不达标或不稳定的情况，应在引水流道出口考虑设置水质净化措施</w:t>
      </w:r>
      <w:r>
        <w:rPr>
          <w:rFonts w:hint="eastAsia"/>
          <w:sz w:val="28"/>
          <w:szCs w:val="24"/>
          <w:lang w:eastAsia="zh-CN"/>
        </w:rPr>
        <w:t>。</w:t>
      </w:r>
    </w:p>
    <w:p w14:paraId="1C53A156">
      <w:pPr>
        <w:pStyle w:val="4"/>
        <w:numPr>
          <w:ilvl w:val="2"/>
          <w:numId w:val="0"/>
        </w:numPr>
        <w:bidi w:val="0"/>
        <w:ind w:left="0" w:leftChars="0" w:firstLine="0" w:firstLineChars="0"/>
      </w:pPr>
      <w:bookmarkStart w:id="86" w:name="_Toc11510"/>
      <w:bookmarkStart w:id="87" w:name="_Toc14559"/>
      <w:r>
        <w:rPr>
          <w:rFonts w:hint="eastAsia"/>
          <w:lang w:val="en-US" w:eastAsia="zh-CN"/>
        </w:rPr>
        <w:t>5.2.12</w:t>
      </w:r>
      <w:r>
        <w:rPr>
          <w:rFonts w:hint="eastAsia"/>
        </w:rPr>
        <w:t>水动力循环</w:t>
      </w:r>
      <w:bookmarkEnd w:id="86"/>
      <w:bookmarkEnd w:id="87"/>
    </w:p>
    <w:p w14:paraId="59205412">
      <w:pPr>
        <w:ind w:firstLine="560"/>
        <w:rPr>
          <w:sz w:val="28"/>
          <w:szCs w:val="24"/>
          <w:lang w:eastAsia="zh-CN"/>
        </w:rPr>
      </w:pPr>
      <w:r>
        <w:rPr>
          <w:sz w:val="28"/>
          <w:szCs w:val="24"/>
          <w:lang w:eastAsia="zh-CN"/>
        </w:rPr>
        <w:t>本文件对</w:t>
      </w:r>
      <w:r>
        <w:rPr>
          <w:rFonts w:hint="eastAsia"/>
          <w:sz w:val="28"/>
          <w:szCs w:val="24"/>
          <w:lang w:eastAsia="zh-CN"/>
        </w:rPr>
        <w:t>水动力循环的适用范围、技术要点和限制因素</w:t>
      </w:r>
      <w:r>
        <w:rPr>
          <w:sz w:val="28"/>
          <w:szCs w:val="24"/>
          <w:lang w:eastAsia="zh-CN"/>
        </w:rPr>
        <w:t>进行了相关说明。</w:t>
      </w:r>
    </w:p>
    <w:p w14:paraId="398DAD17">
      <w:pPr>
        <w:ind w:firstLine="560"/>
        <w:rPr>
          <w:sz w:val="28"/>
          <w:szCs w:val="28"/>
          <w:lang w:eastAsia="zh-CN"/>
        </w:rPr>
      </w:pPr>
      <w:r>
        <w:rPr>
          <w:sz w:val="28"/>
          <w:szCs w:val="28"/>
          <w:lang w:eastAsia="zh-CN"/>
        </w:rPr>
        <w:t>【文件1</w:t>
      </w:r>
      <w:r>
        <w:rPr>
          <w:rFonts w:hint="eastAsia"/>
          <w:sz w:val="28"/>
          <w:szCs w:val="28"/>
          <w:lang w:val="en-US" w:eastAsia="zh-CN"/>
        </w:rPr>
        <w:t>2</w:t>
      </w:r>
      <w:r>
        <w:rPr>
          <w:sz w:val="28"/>
          <w:szCs w:val="28"/>
          <w:lang w:eastAsia="zh-CN"/>
        </w:rPr>
        <w:t>.1条文说明】</w:t>
      </w:r>
      <w:r>
        <w:rPr>
          <w:rFonts w:hint="eastAsia"/>
          <w:sz w:val="28"/>
          <w:szCs w:val="28"/>
          <w:lang w:eastAsia="zh-CN"/>
        </w:rPr>
        <w:t>适用于循环流动性较差，受污染相对严重的封闭水体。适宜于藻类繁殖较快、富营养化较严重的封闭水体。</w:t>
      </w:r>
    </w:p>
    <w:p w14:paraId="42228173">
      <w:pPr>
        <w:ind w:firstLine="560"/>
        <w:rPr>
          <w:sz w:val="28"/>
          <w:szCs w:val="28"/>
          <w:lang w:eastAsia="zh-CN"/>
        </w:rPr>
      </w:pPr>
      <w:r>
        <w:rPr>
          <w:sz w:val="28"/>
          <w:szCs w:val="28"/>
          <w:lang w:eastAsia="zh-CN"/>
        </w:rPr>
        <w:t>【文件1</w:t>
      </w:r>
      <w:r>
        <w:rPr>
          <w:rFonts w:hint="eastAsia"/>
          <w:sz w:val="28"/>
          <w:szCs w:val="28"/>
          <w:lang w:val="en-US" w:eastAsia="zh-CN"/>
        </w:rPr>
        <w:t>2</w:t>
      </w:r>
      <w:r>
        <w:rPr>
          <w:sz w:val="28"/>
          <w:szCs w:val="28"/>
          <w:lang w:eastAsia="zh-CN"/>
        </w:rPr>
        <w:t>.2条文说明】</w:t>
      </w:r>
      <w:r>
        <w:rPr>
          <w:rFonts w:hint="eastAsia"/>
          <w:sz w:val="28"/>
          <w:szCs w:val="28"/>
          <w:lang w:eastAsia="zh-CN"/>
        </w:rPr>
        <w:t>借助动力设施提高水体流动性，当前应用最广的为提水型动力设施。提水型动力设施主要由水下推流器和电缆等所组成，采用耐水腐材料，能在水体中可靠工作。水下推流器主要由支撑架、底座、挡板、推流装置组成，根据水体实际条件，可选择固定式或潜水式。水下推流器的安装深度不得大于3 m。水下推流器的服务面积通常为5-8 m半径扇形/</w:t>
      </w:r>
      <w:bookmarkStart w:id="93" w:name="_GoBack"/>
      <w:r>
        <w:rPr>
          <w:rFonts w:hint="eastAsia"/>
          <w:sz w:val="28"/>
          <w:szCs w:val="28"/>
          <w:lang w:eastAsia="zh-CN"/>
        </w:rPr>
        <w:t>kw</w:t>
      </w:r>
      <w:bookmarkEnd w:id="93"/>
      <w:r>
        <w:rPr>
          <w:rFonts w:hint="eastAsia"/>
          <w:sz w:val="28"/>
          <w:szCs w:val="28"/>
          <w:lang w:eastAsia="zh-CN"/>
        </w:rPr>
        <w:t>。固定式需要挡板固定在水体底部或边壁，底座支架支撑推流装置。潜水式需要浮筒连接推流装置，并用牵引钢丝固定。浮筒放置在水表面上工作区域的水深不得小于0.60 m。</w:t>
      </w:r>
    </w:p>
    <w:p w14:paraId="654E7161">
      <w:pPr>
        <w:ind w:firstLine="560"/>
        <w:rPr>
          <w:sz w:val="28"/>
          <w:szCs w:val="28"/>
          <w:lang w:eastAsia="zh-CN"/>
        </w:rPr>
      </w:pPr>
      <w:r>
        <w:rPr>
          <w:sz w:val="28"/>
          <w:szCs w:val="28"/>
          <w:lang w:eastAsia="zh-CN"/>
        </w:rPr>
        <w:t>【文件1</w:t>
      </w:r>
      <w:r>
        <w:rPr>
          <w:rFonts w:hint="eastAsia"/>
          <w:sz w:val="28"/>
          <w:szCs w:val="28"/>
          <w:lang w:val="en-US" w:eastAsia="zh-CN"/>
        </w:rPr>
        <w:t>2</w:t>
      </w:r>
      <w:r>
        <w:rPr>
          <w:sz w:val="28"/>
          <w:szCs w:val="28"/>
          <w:lang w:eastAsia="zh-CN"/>
        </w:rPr>
        <w:t>.3条文说明】</w:t>
      </w:r>
      <w:r>
        <w:rPr>
          <w:rFonts w:hint="eastAsia"/>
          <w:sz w:val="28"/>
          <w:szCs w:val="28"/>
          <w:lang w:eastAsia="zh-CN"/>
        </w:rPr>
        <w:t>自然湖泊岸带边坡条件较为复杂，对流速流态产生一定影响，风力会导致水体波动，影响推流器对水体正常的推动作用。技术措施为动力设施，运行费用偏高。</w:t>
      </w:r>
    </w:p>
    <w:p w14:paraId="0CC89269">
      <w:pPr>
        <w:pStyle w:val="4"/>
        <w:numPr>
          <w:ilvl w:val="2"/>
          <w:numId w:val="0"/>
        </w:numPr>
        <w:bidi w:val="0"/>
        <w:ind w:left="0" w:leftChars="0" w:firstLine="0" w:firstLineChars="0"/>
        <w:rPr>
          <w:rFonts w:hint="eastAsia" w:ascii="Times New Roman" w:hAnsi="Times New Roman" w:eastAsia="宋体" w:cs="Times New Roman"/>
        </w:rPr>
      </w:pPr>
      <w:bookmarkStart w:id="88" w:name="_Toc20654"/>
      <w:bookmarkStart w:id="89" w:name="_Toc19337"/>
      <w:r>
        <w:rPr>
          <w:rFonts w:hint="eastAsia" w:ascii="Times New Roman"/>
          <w:sz w:val="28"/>
          <w:szCs w:val="28"/>
          <w:lang w:val="en-US" w:eastAsia="zh-CN"/>
        </w:rPr>
        <w:t>5.2.13</w:t>
      </w:r>
      <w:r>
        <w:rPr>
          <w:rFonts w:hint="eastAsia" w:ascii="Times New Roman" w:hAnsi="Times New Roman" w:eastAsia="宋体" w:cs="Times New Roman"/>
        </w:rPr>
        <w:t>技术比选</w:t>
      </w:r>
      <w:bookmarkEnd w:id="88"/>
      <w:bookmarkEnd w:id="89"/>
    </w:p>
    <w:p w14:paraId="16700437">
      <w:pPr>
        <w:adjustRightInd w:val="0"/>
        <w:snapToGrid w:val="0"/>
        <w:spacing w:line="360" w:lineRule="auto"/>
        <w:ind w:left="0" w:leftChars="0" w:firstLine="560" w:firstLineChars="200"/>
        <w:rPr>
          <w:rFonts w:hint="eastAsia" w:eastAsia="宋体"/>
          <w:sz w:val="28"/>
          <w:szCs w:val="24"/>
          <w:lang w:eastAsia="zh-CN"/>
        </w:rPr>
      </w:pPr>
      <w:r>
        <w:rPr>
          <w:rFonts w:hint="eastAsia" w:ascii="Times New Roman"/>
          <w:sz w:val="28"/>
          <w:szCs w:val="28"/>
        </w:rPr>
        <w:t>本文件对生物膜、曝气增氧、生态浮床、化学絮凝、人工水草、生态补水、水动力循环的适用条件、技术特征、作用机制、应用难度、技术造价等进行了说明</w:t>
      </w:r>
      <w:r>
        <w:rPr>
          <w:rFonts w:hint="eastAsia" w:ascii="Times New Roman"/>
          <w:sz w:val="28"/>
          <w:szCs w:val="28"/>
          <w:lang w:eastAsia="zh-CN"/>
        </w:rPr>
        <w:t>。</w:t>
      </w:r>
    </w:p>
    <w:p w14:paraId="0A6A6304">
      <w:pPr>
        <w:pStyle w:val="2"/>
        <w:numPr>
          <w:ilvl w:val="0"/>
          <w:numId w:val="0"/>
        </w:numPr>
        <w:bidi w:val="0"/>
        <w:ind w:left="0" w:leftChars="0" w:firstLine="0" w:firstLineChars="0"/>
        <w:rPr>
          <w:rFonts w:hint="eastAsia" w:ascii="Times New Roman" w:hAnsi="Times New Roman" w:cs="Times New Roman"/>
          <w:lang w:eastAsia="zh-CN"/>
        </w:rPr>
      </w:pPr>
      <w:bookmarkStart w:id="90" w:name="_Toc5015"/>
      <w:r>
        <w:rPr>
          <w:rFonts w:hint="eastAsia" w:ascii="Times New Roman" w:hAnsi="Times New Roman" w:cs="Times New Roman"/>
          <w:lang w:val="en-US" w:eastAsia="zh-CN"/>
        </w:rPr>
        <w:t>六、</w:t>
      </w:r>
      <w:r>
        <w:rPr>
          <w:rFonts w:hint="eastAsia" w:ascii="Times New Roman" w:hAnsi="Times New Roman" w:cs="Times New Roman"/>
          <w:lang w:eastAsia="zh-CN"/>
        </w:rPr>
        <w:t>国内外标准情况、与国际标准一致性程度情况</w:t>
      </w:r>
      <w:bookmarkEnd w:id="90"/>
    </w:p>
    <w:p w14:paraId="0873DE70">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浙江省湖库生态缓冲带划定与生态修复技术指南（试行）》于2020年11月13日由浙江省生态环境厅、浙江省治水办(河长办)联合印发，为浙江省各地开展湖库生态缓冲带保护和修复工作提供了有效技术支撑。该指南在识别自然和人为影响的基础上，遵循客观差异性和分区分类的原则，将浙江省的湖（库）滨带分为大堤型、农田型、养殖塘型、村落型、山体型、景区型、道路型、河口型、平缓滩地型、生物廊道型、岩石型11种类型，将湖库缓冲区分为平原林地型、山体型、农田型、村落型、景区型、城镇型、养殖塘型、地下水潜水层保护型8种类型，提出分类型进行宽度划定和分类修复的生态技术模式，有针对性地指导湖库生态缓冲带宽度划定，制定合理划定方案及采用适宜的生态修复措施。</w:t>
      </w:r>
    </w:p>
    <w:p w14:paraId="06EF6EE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系统整合重庆市湖库生态修复适宜技术，指导重庆地区城市湖库的水环境治理、水环境质量提升、水生生态系统恢复等工作，重庆市环境保护局于2017年12月29日印发了《重庆市湖库生态修复适宜技术选择指南（2017版）》，该指南针对重庆地区山地地形复杂、地形坡度大、地表径流流速大、山地河湖贯通格局较多等特点，针对性提出了适宜重庆地区的点源污染、面源污染、内源污染、水体自净能力恢复等湖库生态修复适宜技术，并对湖库管理与长效保持措施提出了指导。</w:t>
      </w:r>
    </w:p>
    <w:p w14:paraId="23011886">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2014年，环保部印发了《湖泊生态环境保护系列技术指南之四—湖滨带生态修复工程技术指南》，该指南以湖滨带生态功能保护为核心，提出湖滨带生态环境调查与问题诊断、生态修复总体设计、生态修复工艺、湖滨带生态修复工程维护管理、投资估算、生态环境效益评估等方面的技术方法。该指南对于指导各地开展湖滨带生态环境保护工作，改善湖滨生态环境，减少入湖污染负荷，为维护湖泊及流域生态系统健康提供保障。</w:t>
      </w:r>
    </w:p>
    <w:p w14:paraId="5EAE969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为贯彻落实党中央、国务院关于统筹推进山水林田湖草一体化保护和修复的部署要求，指导和规范各地山水林田湖草生态保护修复工程实施，自然资源部、财政部、生态环境部制定了《山水林田湖草生态保护修复工程指南（试行）》，指南涵盖工程建设内容和保护修复要求、监测评估和适应性管理、工程管理要求等内容</w:t>
      </w:r>
    </w:p>
    <w:p w14:paraId="3C8022B4">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目前，美国、德国等先进国家已经制定了相对完善的水质改善标准，如美国《国家水质标准》与欧盟《水框架指令》等。该标准在温带或发达国家应用效果显著，但在气候条件截然不同的地区（如热带、干旱地区）或发展中国家适用性不强。此外，国外标准大都依赖复杂的技术手段，如高级氧化技术等，技术设备昂贵且维护复杂，在经济条件较差的地区无法推广普及。</w:t>
      </w:r>
    </w:p>
    <w:p w14:paraId="5869348C">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有别于国内外其他标准，本标准立足于我省湖库水质污染实际，针对性提出生物膜、曝气增氧、化学絮凝、人工水草等水质改善技术，从经济和适应效果方面具有更强操作性和指导性。</w:t>
      </w:r>
    </w:p>
    <w:p w14:paraId="5993921C">
      <w:pPr>
        <w:pStyle w:val="2"/>
        <w:numPr>
          <w:ilvl w:val="0"/>
          <w:numId w:val="0"/>
        </w:numPr>
        <w:bidi w:val="0"/>
        <w:ind w:left="0" w:leftChars="0" w:firstLine="0" w:firstLineChars="0"/>
        <w:rPr>
          <w:rFonts w:hint="eastAsia" w:ascii="Times New Roman" w:hAnsi="Times New Roman" w:eastAsia="黑体" w:cs="Times New Roman"/>
          <w:sz w:val="32"/>
          <w:szCs w:val="28"/>
          <w:lang w:val="en-US" w:eastAsia="zh-CN" w:bidi="ar-SA"/>
        </w:rPr>
      </w:pPr>
      <w:bookmarkStart w:id="91" w:name="_Toc16118"/>
      <w:r>
        <w:rPr>
          <w:rFonts w:hint="eastAsia" w:ascii="Times New Roman" w:hAnsi="Times New Roman" w:cs="Times New Roman"/>
          <w:sz w:val="32"/>
          <w:szCs w:val="28"/>
          <w:lang w:val="en-US" w:eastAsia="zh-CN" w:bidi="ar-SA"/>
        </w:rPr>
        <w:t>七、</w:t>
      </w:r>
      <w:r>
        <w:rPr>
          <w:rFonts w:hint="default" w:ascii="Times New Roman" w:hAnsi="Times New Roman" w:eastAsia="黑体" w:cs="Times New Roman"/>
          <w:sz w:val="32"/>
          <w:szCs w:val="28"/>
          <w:lang w:val="en-US" w:eastAsia="zh-CN" w:bidi="ar-SA"/>
        </w:rPr>
        <w:t>与相关强制性标准、法律法规配套情况</w:t>
      </w:r>
      <w:bookmarkEnd w:id="91"/>
    </w:p>
    <w:p w14:paraId="6E789FE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制标主要原则是遵守《中华人民共和国标准化法》、《中华人民共和国环境保护法》、《国家标准管理办法》、《江西省地方标准管理办法》等法律法规；在标准制定过程中，充分参考了国内外湖库水质改善实际工程设计、施工及运营情况，充分保证该标准在实际应用工程实践的实用性。该标准的技术指标、性能参数的设定，结合了水质改善技术的相关研究和实践情况，充分参考了相关国家标准和相关规范，广泛调研，保证了标准的科学性、规范性、时效性、针对性。</w:t>
      </w:r>
    </w:p>
    <w:p w14:paraId="4C8F3DE7">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本地方标准的编写内容与格式严格按照GB/T 1.1-2020《标准化工作导则 第1部分：标准化文件的结构和起草规则》的规定起草，遵守“统一性、协调性、适用性、一致性、规范性”的原则。</w:t>
      </w:r>
    </w:p>
    <w:p w14:paraId="694E1AAD">
      <w:pPr>
        <w:adjustRightInd w:val="0"/>
        <w:snapToGrid w:val="0"/>
        <w:spacing w:line="360" w:lineRule="auto"/>
        <w:ind w:left="0" w:leftChars="0" w:firstLine="560" w:firstLineChars="200"/>
        <w:rPr>
          <w:rFonts w:hint="eastAsia"/>
          <w:sz w:val="28"/>
          <w:szCs w:val="24"/>
          <w:lang w:eastAsia="zh-CN"/>
        </w:rPr>
      </w:pPr>
      <w:r>
        <w:rPr>
          <w:rFonts w:hint="eastAsia"/>
          <w:sz w:val="28"/>
          <w:szCs w:val="24"/>
          <w:lang w:eastAsia="zh-CN"/>
        </w:rPr>
        <w:t>本标准符合现行的法律、法规和强制性标准。本标准制定的原则和依据是立足需求，突出重点。依据省标准化战略领导小组办公室关于做好地方标准管理工作的通知要求开展，围绕我省湖库水质改善技术要求进行起草。</w:t>
      </w:r>
    </w:p>
    <w:p w14:paraId="6D6C528C">
      <w:pPr>
        <w:pStyle w:val="2"/>
        <w:numPr>
          <w:ilvl w:val="0"/>
          <w:numId w:val="0"/>
        </w:numPr>
        <w:bidi w:val="0"/>
        <w:ind w:left="0" w:leftChars="0" w:firstLine="0" w:firstLineChars="0"/>
        <w:rPr>
          <w:rFonts w:hint="eastAsia" w:ascii="Times New Roman" w:hAnsi="Times New Roman" w:cs="Times New Roman"/>
          <w:lang w:eastAsia="zh-CN"/>
        </w:rPr>
      </w:pPr>
      <w:bookmarkStart w:id="92" w:name="_Toc26417"/>
      <w:r>
        <w:rPr>
          <w:rFonts w:hint="eastAsia" w:ascii="Times New Roman" w:hAnsi="Times New Roman" w:cs="Times New Roman"/>
          <w:sz w:val="32"/>
          <w:szCs w:val="28"/>
          <w:lang w:val="en-US" w:eastAsia="zh-CN" w:bidi="ar-SA"/>
        </w:rPr>
        <w:t>八</w:t>
      </w:r>
      <w:r>
        <w:rPr>
          <w:rFonts w:hint="eastAsia" w:ascii="Times New Roman" w:hAnsi="Times New Roman" w:eastAsia="黑体" w:cs="Times New Roman"/>
          <w:sz w:val="32"/>
          <w:szCs w:val="28"/>
          <w:lang w:val="en-US" w:eastAsia="zh-CN" w:bidi="ar-SA"/>
        </w:rPr>
        <w:t>、</w:t>
      </w:r>
      <w:r>
        <w:rPr>
          <w:rFonts w:hint="eastAsia" w:ascii="Times New Roman" w:hAnsi="Times New Roman" w:cs="Times New Roman"/>
          <w:lang w:eastAsia="zh-CN"/>
        </w:rPr>
        <w:t>实施本文件的建议</w:t>
      </w:r>
      <w:bookmarkEnd w:id="92"/>
    </w:p>
    <w:bookmarkEnd w:id="47"/>
    <w:bookmarkEnd w:id="48"/>
    <w:p w14:paraId="44817154">
      <w:pPr>
        <w:adjustRightInd w:val="0"/>
        <w:snapToGrid w:val="0"/>
        <w:spacing w:line="360" w:lineRule="auto"/>
        <w:ind w:firstLine="560"/>
        <w:rPr>
          <w:sz w:val="28"/>
          <w:szCs w:val="24"/>
          <w:lang w:eastAsia="zh-CN"/>
        </w:rPr>
      </w:pPr>
      <w:r>
        <w:rPr>
          <w:sz w:val="28"/>
          <w:szCs w:val="24"/>
          <w:lang w:eastAsia="zh-CN"/>
        </w:rPr>
        <w:t>鉴于本</w:t>
      </w:r>
      <w:r>
        <w:rPr>
          <w:rFonts w:hint="eastAsia"/>
          <w:sz w:val="28"/>
          <w:szCs w:val="24"/>
          <w:lang w:val="en-US" w:eastAsia="zh-CN"/>
        </w:rPr>
        <w:t>标准</w:t>
      </w:r>
      <w:r>
        <w:rPr>
          <w:sz w:val="28"/>
          <w:szCs w:val="24"/>
          <w:lang w:eastAsia="zh-CN"/>
        </w:rPr>
        <w:t>为首次制定，在实施过程中可采用先试行一段时间，根据试行情况及反馈信息，进行进一步的修订完善，力争最终形成适用的</w:t>
      </w:r>
      <w:r>
        <w:rPr>
          <w:rFonts w:hint="eastAsia"/>
          <w:sz w:val="28"/>
          <w:szCs w:val="24"/>
          <w:lang w:eastAsia="zh-CN"/>
        </w:rPr>
        <w:t>水生态修复标准</w:t>
      </w:r>
      <w:r>
        <w:rPr>
          <w:sz w:val="28"/>
          <w:szCs w:val="24"/>
          <w:lang w:eastAsia="zh-CN"/>
        </w:rPr>
        <w:t>文件，更好的满足我省</w:t>
      </w:r>
      <w:r>
        <w:rPr>
          <w:rFonts w:hint="eastAsia"/>
          <w:sz w:val="28"/>
          <w:szCs w:val="24"/>
          <w:lang w:eastAsia="zh-CN"/>
        </w:rPr>
        <w:t>湖库</w:t>
      </w:r>
      <w:r>
        <w:rPr>
          <w:rFonts w:hint="eastAsia"/>
          <w:sz w:val="28"/>
          <w:szCs w:val="24"/>
          <w:lang w:val="en-US" w:eastAsia="zh-CN"/>
        </w:rPr>
        <w:t>水质改善</w:t>
      </w:r>
      <w:r>
        <w:rPr>
          <w:sz w:val="28"/>
          <w:szCs w:val="24"/>
          <w:lang w:eastAsia="zh-CN"/>
        </w:rPr>
        <w:t>需要。此外，随着经济的发展和技术的进步，以及对环保技术研究的不断深入及实践经验的积累，根据环境管理的实际需要，</w:t>
      </w:r>
      <w:r>
        <w:rPr>
          <w:rFonts w:hint="eastAsia"/>
          <w:sz w:val="28"/>
          <w:szCs w:val="24"/>
          <w:lang w:eastAsia="zh-CN"/>
        </w:rPr>
        <w:t>指南</w:t>
      </w:r>
      <w:r>
        <w:rPr>
          <w:sz w:val="28"/>
          <w:szCs w:val="24"/>
          <w:lang w:eastAsia="zh-CN"/>
        </w:rPr>
        <w:t>的内容应不断得到完善、拓展、深入和更新，以适应环境标准制修订工作的要求。因此本文件发布后，建议建立相关信息的反馈机制，适时解决</w:t>
      </w:r>
      <w:r>
        <w:rPr>
          <w:rFonts w:hint="eastAsia"/>
          <w:sz w:val="28"/>
          <w:szCs w:val="24"/>
          <w:lang w:eastAsia="zh-CN"/>
        </w:rPr>
        <w:t>指南</w:t>
      </w:r>
      <w:r>
        <w:rPr>
          <w:sz w:val="28"/>
          <w:szCs w:val="24"/>
          <w:lang w:eastAsia="zh-CN"/>
        </w:rPr>
        <w:t>应用中的问题，及时了解和总结</w:t>
      </w:r>
      <w:r>
        <w:rPr>
          <w:rFonts w:hint="eastAsia"/>
          <w:sz w:val="28"/>
          <w:szCs w:val="24"/>
          <w:lang w:val="en-US" w:eastAsia="zh-CN"/>
        </w:rPr>
        <w:t>水质改善</w:t>
      </w:r>
      <w:r>
        <w:rPr>
          <w:rFonts w:hint="eastAsia"/>
          <w:sz w:val="28"/>
          <w:szCs w:val="24"/>
          <w:lang w:eastAsia="zh-CN"/>
        </w:rPr>
        <w:t>技术</w:t>
      </w:r>
      <w:r>
        <w:rPr>
          <w:sz w:val="28"/>
          <w:szCs w:val="24"/>
          <w:lang w:eastAsia="zh-CN"/>
        </w:rPr>
        <w:t>的新动向，推动标准的贯彻执行。</w:t>
      </w:r>
    </w:p>
    <w:p w14:paraId="4DE684AC">
      <w:pPr>
        <w:adjustRightInd w:val="0"/>
        <w:snapToGrid w:val="0"/>
        <w:spacing w:line="360" w:lineRule="auto"/>
        <w:ind w:firstLine="560"/>
        <w:rPr>
          <w:color w:val="000000"/>
          <w:sz w:val="28"/>
          <w:szCs w:val="24"/>
          <w:lang w:eastAsia="zh-CN"/>
        </w:rPr>
      </w:pPr>
      <w:r>
        <w:rPr>
          <w:color w:val="000000"/>
          <w:sz w:val="28"/>
          <w:szCs w:val="24"/>
          <w:lang w:eastAsia="zh-CN"/>
        </w:rPr>
        <w:t>本</w:t>
      </w:r>
      <w:r>
        <w:rPr>
          <w:rFonts w:hint="eastAsia"/>
          <w:color w:val="000000"/>
          <w:sz w:val="28"/>
          <w:szCs w:val="24"/>
          <w:lang w:eastAsia="zh-CN"/>
        </w:rPr>
        <w:t>标准</w:t>
      </w:r>
      <w:r>
        <w:rPr>
          <w:color w:val="000000"/>
          <w:sz w:val="28"/>
          <w:szCs w:val="24"/>
          <w:lang w:eastAsia="zh-CN"/>
        </w:rPr>
        <w:t>建议作为推荐性地方标准发布。</w:t>
      </w:r>
    </w:p>
    <w:sectPr>
      <w:footerReference r:id="rId13" w:type="defaul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9DC8">
    <w:pPr>
      <w:pStyle w:val="17"/>
      <w:framePr w:w="267" w:wrap="around" w:vAnchor="text" w:hAnchor="page" w:x="9806" w:y="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F5F9D">
    <w:pPr>
      <w:pStyle w:val="17"/>
      <w:framePr w:wrap="around" w:vAnchor="text" w:hAnchor="margin" w:xAlign="right" w:y="1"/>
      <w:ind w:firstLine="360"/>
      <w:rPr>
        <w:rStyle w:val="31"/>
      </w:rPr>
    </w:pPr>
    <w:r>
      <w:fldChar w:fldCharType="begin"/>
    </w:r>
    <w:r>
      <w:rPr>
        <w:rStyle w:val="31"/>
      </w:rPr>
      <w:instrText xml:space="preserve">PAGE  </w:instrText>
    </w:r>
    <w:r>
      <w:fldChar w:fldCharType="end"/>
    </w:r>
  </w:p>
  <w:p w14:paraId="4065F16E">
    <w:pPr>
      <w:pStyle w:val="1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BC07">
    <w:pPr>
      <w:pStyle w:val="17"/>
      <w:ind w:firstLine="360"/>
      <w:jc w:val="right"/>
    </w:pPr>
    <w:r>
      <w:fldChar w:fldCharType="begin"/>
    </w:r>
    <w:r>
      <w:instrText xml:space="preserve">PAGE   \* MERGEFORMAT</w:instrText>
    </w:r>
    <w:r>
      <w:fldChar w:fldCharType="separate"/>
    </w:r>
    <w:r>
      <w:rPr>
        <w:lang w:val="zh-CN" w:eastAsia="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671754"/>
    </w:sdtPr>
    <w:sdtContent>
      <w:p w14:paraId="7E815871">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2246D1F4">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3539226"/>
    </w:sdtPr>
    <w:sdtContent>
      <w:p w14:paraId="21170CD4">
        <w:pPr>
          <w:pStyle w:val="17"/>
          <w:ind w:firstLine="360"/>
          <w:jc w:val="center"/>
        </w:pPr>
        <w:r>
          <w:fldChar w:fldCharType="begin"/>
        </w:r>
        <w:r>
          <w:instrText xml:space="preserve">PAGE   \* MERGEFORMAT</w:instrText>
        </w:r>
        <w:r>
          <w:fldChar w:fldCharType="separate"/>
        </w:r>
        <w:r>
          <w:rPr>
            <w:lang w:val="zh-CN" w:eastAsia="zh-CN"/>
          </w:rPr>
          <w:t>2</w:t>
        </w:r>
        <w:r>
          <w:fldChar w:fldCharType="end"/>
        </w:r>
      </w:p>
    </w:sdtContent>
  </w:sdt>
  <w:p w14:paraId="330BAA6C">
    <w:pPr>
      <w:pStyle w:val="17"/>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AF415">
    <w:pPr>
      <w:pStyle w:val="17"/>
      <w:ind w:firstLine="42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eastAsia="zh-CN"/>
      </w:rPr>
      <w:t>10</w:t>
    </w:r>
    <w:r>
      <w:rPr>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1E00C">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996C">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9161D">
    <w:pPr>
      <w:pStyle w:val="18"/>
      <w:pBdr>
        <w:bottom w:val="none" w:color="auto" w:sz="0" w:space="0"/>
      </w:pBdr>
      <w:ind w:firstLine="360"/>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7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7"/>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80"/>
      <w:suff w:val="nothing"/>
      <w:lvlText w:val="%1.%2.%3　"/>
      <w:lvlJc w:val="left"/>
      <w:pPr>
        <w:ind w:left="127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
    <w:nsid w:val="43DD47CE"/>
    <w:multiLevelType w:val="multilevel"/>
    <w:tmpl w:val="43DD47CE"/>
    <w:lvl w:ilvl="0" w:tentative="0">
      <w:start w:val="1"/>
      <w:numFmt w:val="decimal"/>
      <w:pStyle w:val="2"/>
      <w:isLgl/>
      <w:lvlText w:val="%1"/>
      <w:lvlJc w:val="left"/>
      <w:pPr>
        <w:ind w:left="0" w:firstLine="0"/>
      </w:pPr>
      <w:rPr>
        <w:rFonts w:hint="default" w:ascii="Times New Roman" w:hAnsi="Times New Roman" w:eastAsia="黑体"/>
        <w:sz w:val="32"/>
        <w:szCs w:val="21"/>
      </w:rPr>
    </w:lvl>
    <w:lvl w:ilvl="1" w:tentative="0">
      <w:start w:val="1"/>
      <w:numFmt w:val="decimal"/>
      <w:pStyle w:val="3"/>
      <w:lvlText w:val="%1.%2"/>
      <w:lvlJc w:val="left"/>
      <w:pPr>
        <w:ind w:left="1560" w:firstLine="0"/>
      </w:pPr>
      <w:rPr>
        <w:rFonts w:hint="default" w:ascii="Times New Roman" w:hAnsi="Times New Roman" w:eastAsia="黑体"/>
        <w:sz w:val="28"/>
        <w:szCs w:val="21"/>
      </w:rPr>
    </w:lvl>
    <w:lvl w:ilvl="2" w:tentative="0">
      <w:start w:val="1"/>
      <w:numFmt w:val="decimal"/>
      <w:pStyle w:val="4"/>
      <w:lvlText w:val="%1.%2.%3"/>
      <w:lvlJc w:val="left"/>
      <w:pPr>
        <w:ind w:left="0" w:firstLine="0"/>
      </w:pPr>
      <w:rPr>
        <w:rFonts w:hint="default" w:ascii="Times New Roman" w:hAnsi="Times New Roman" w:eastAsia="宋体"/>
        <w:sz w:val="24"/>
      </w:rPr>
    </w:lvl>
    <w:lvl w:ilvl="3" w:tentative="0">
      <w:start w:val="1"/>
      <w:numFmt w:val="decimal"/>
      <w:lvlRestart w:val="1"/>
      <w:pStyle w:val="8"/>
      <w:lvlText w:val="图%1-%4"/>
      <w:lvlJc w:val="left"/>
      <w:pPr>
        <w:ind w:left="3261" w:firstLine="0"/>
      </w:pPr>
      <w:rPr>
        <w:rFonts w:hint="eastAsia"/>
        <w:sz w:val="21"/>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47D74904"/>
    <w:multiLevelType w:val="multilevel"/>
    <w:tmpl w:val="47D74904"/>
    <w:lvl w:ilvl="0" w:tentative="0">
      <w:start w:val="1"/>
      <w:numFmt w:val="decimal"/>
      <w:pStyle w:val="45"/>
      <w:lvlText w:val="（%1）"/>
      <w:lvlJc w:val="left"/>
      <w:pPr>
        <w:tabs>
          <w:tab w:val="left" w:pos="104"/>
        </w:tabs>
        <w:ind w:left="-94" w:firstLine="454"/>
      </w:pPr>
      <w:rPr>
        <w:rFonts w:hint="eastAsia"/>
        <w:lang w:val="en-US"/>
      </w:rPr>
    </w:lvl>
    <w:lvl w:ilvl="1" w:tentative="0">
      <w:start w:val="1"/>
      <w:numFmt w:val="lowerLetter"/>
      <w:lvlText w:val="%2)"/>
      <w:lvlJc w:val="left"/>
      <w:pPr>
        <w:tabs>
          <w:tab w:val="left" w:pos="1020"/>
        </w:tabs>
        <w:ind w:left="1020" w:hanging="420"/>
      </w:pPr>
    </w:lvl>
    <w:lvl w:ilvl="2" w:tentative="0">
      <w:start w:val="1"/>
      <w:numFmt w:val="decimalEnclosedCircle"/>
      <w:lvlText w:val="%3"/>
      <w:lvlJc w:val="left"/>
      <w:pPr>
        <w:tabs>
          <w:tab w:val="left" w:pos="1650"/>
        </w:tabs>
        <w:ind w:left="1650" w:hanging="630"/>
      </w:pPr>
      <w:rPr>
        <w:rFonts w:hint="default"/>
      </w:rPr>
    </w:lvl>
    <w:lvl w:ilvl="3" w:tentative="0">
      <w:start w:val="1"/>
      <w:numFmt w:val="decimal"/>
      <w:lvlText w:val="%4."/>
      <w:lvlJc w:val="left"/>
      <w:pPr>
        <w:tabs>
          <w:tab w:val="left" w:pos="1860"/>
        </w:tabs>
        <w:ind w:left="1860" w:hanging="420"/>
      </w:pPr>
    </w:lvl>
    <w:lvl w:ilvl="4" w:tentative="0">
      <w:start w:val="2"/>
      <w:numFmt w:val="decimal"/>
      <w:lvlText w:val="%5）"/>
      <w:lvlJc w:val="left"/>
      <w:pPr>
        <w:tabs>
          <w:tab w:val="left" w:pos="2220"/>
        </w:tabs>
        <w:ind w:left="2220" w:hanging="360"/>
      </w:pPr>
      <w:rPr>
        <w:rFonts w:hint="eastAsia"/>
      </w:r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646260FA"/>
    <w:multiLevelType w:val="multilevel"/>
    <w:tmpl w:val="646260FA"/>
    <w:lvl w:ilvl="0" w:tentative="0">
      <w:start w:val="1"/>
      <w:numFmt w:val="decimal"/>
      <w:pStyle w:val="8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ZTZmN2NiMmU5NWM0ZTJmY2NkNWE0ZmU0OGVlZjAifQ=="/>
  </w:docVars>
  <w:rsids>
    <w:rsidRoot w:val="004F555E"/>
    <w:rsid w:val="000012AB"/>
    <w:rsid w:val="00001478"/>
    <w:rsid w:val="0000203A"/>
    <w:rsid w:val="000023DE"/>
    <w:rsid w:val="00007692"/>
    <w:rsid w:val="00007A24"/>
    <w:rsid w:val="000114DF"/>
    <w:rsid w:val="00014A7F"/>
    <w:rsid w:val="00016259"/>
    <w:rsid w:val="0001657F"/>
    <w:rsid w:val="00017361"/>
    <w:rsid w:val="000318D6"/>
    <w:rsid w:val="000359C7"/>
    <w:rsid w:val="00036A23"/>
    <w:rsid w:val="00041D07"/>
    <w:rsid w:val="000427F2"/>
    <w:rsid w:val="00042F9D"/>
    <w:rsid w:val="00044BEC"/>
    <w:rsid w:val="00045DCA"/>
    <w:rsid w:val="00046C6B"/>
    <w:rsid w:val="00047AE1"/>
    <w:rsid w:val="000500D7"/>
    <w:rsid w:val="00051D4B"/>
    <w:rsid w:val="0005239B"/>
    <w:rsid w:val="00052601"/>
    <w:rsid w:val="0005295F"/>
    <w:rsid w:val="0005375D"/>
    <w:rsid w:val="00055291"/>
    <w:rsid w:val="00055766"/>
    <w:rsid w:val="0005796D"/>
    <w:rsid w:val="000608F9"/>
    <w:rsid w:val="0006374B"/>
    <w:rsid w:val="00064643"/>
    <w:rsid w:val="000648CA"/>
    <w:rsid w:val="0006532E"/>
    <w:rsid w:val="000660AB"/>
    <w:rsid w:val="00070CBE"/>
    <w:rsid w:val="00073F1B"/>
    <w:rsid w:val="000758C9"/>
    <w:rsid w:val="00075CA6"/>
    <w:rsid w:val="00075ECE"/>
    <w:rsid w:val="0007707A"/>
    <w:rsid w:val="0007721B"/>
    <w:rsid w:val="00077CAA"/>
    <w:rsid w:val="0008106C"/>
    <w:rsid w:val="000830D3"/>
    <w:rsid w:val="00084A80"/>
    <w:rsid w:val="00090844"/>
    <w:rsid w:val="00092639"/>
    <w:rsid w:val="00093C1D"/>
    <w:rsid w:val="000A571E"/>
    <w:rsid w:val="000A6767"/>
    <w:rsid w:val="000A7D00"/>
    <w:rsid w:val="000B0761"/>
    <w:rsid w:val="000B3EB9"/>
    <w:rsid w:val="000B59D2"/>
    <w:rsid w:val="000C22B4"/>
    <w:rsid w:val="000D09C9"/>
    <w:rsid w:val="000D1C8C"/>
    <w:rsid w:val="000D31E5"/>
    <w:rsid w:val="000D3B27"/>
    <w:rsid w:val="000D7FC7"/>
    <w:rsid w:val="000E0E93"/>
    <w:rsid w:val="000E4AF9"/>
    <w:rsid w:val="000E564D"/>
    <w:rsid w:val="000E56E3"/>
    <w:rsid w:val="000E5B15"/>
    <w:rsid w:val="000E7255"/>
    <w:rsid w:val="000E727F"/>
    <w:rsid w:val="000F222C"/>
    <w:rsid w:val="000F3167"/>
    <w:rsid w:val="000F7144"/>
    <w:rsid w:val="00100EB8"/>
    <w:rsid w:val="00101A97"/>
    <w:rsid w:val="00103768"/>
    <w:rsid w:val="0010743A"/>
    <w:rsid w:val="001125EA"/>
    <w:rsid w:val="00115481"/>
    <w:rsid w:val="0011781D"/>
    <w:rsid w:val="00117C60"/>
    <w:rsid w:val="0012342C"/>
    <w:rsid w:val="00126E6C"/>
    <w:rsid w:val="001318CB"/>
    <w:rsid w:val="00131E67"/>
    <w:rsid w:val="00132399"/>
    <w:rsid w:val="00143010"/>
    <w:rsid w:val="001430BF"/>
    <w:rsid w:val="00145646"/>
    <w:rsid w:val="00145E01"/>
    <w:rsid w:val="00146832"/>
    <w:rsid w:val="001474EE"/>
    <w:rsid w:val="00147BD8"/>
    <w:rsid w:val="001510BA"/>
    <w:rsid w:val="00151F2D"/>
    <w:rsid w:val="00154F5F"/>
    <w:rsid w:val="0015768A"/>
    <w:rsid w:val="00157D41"/>
    <w:rsid w:val="00161BF7"/>
    <w:rsid w:val="00164C64"/>
    <w:rsid w:val="001719EA"/>
    <w:rsid w:val="00174CA8"/>
    <w:rsid w:val="00175C81"/>
    <w:rsid w:val="00177678"/>
    <w:rsid w:val="00177F25"/>
    <w:rsid w:val="00184648"/>
    <w:rsid w:val="00185BF7"/>
    <w:rsid w:val="00190C49"/>
    <w:rsid w:val="0019304F"/>
    <w:rsid w:val="0019403D"/>
    <w:rsid w:val="001A011B"/>
    <w:rsid w:val="001A175E"/>
    <w:rsid w:val="001A2A7E"/>
    <w:rsid w:val="001A461C"/>
    <w:rsid w:val="001A4942"/>
    <w:rsid w:val="001A4DDB"/>
    <w:rsid w:val="001A5DA7"/>
    <w:rsid w:val="001A717B"/>
    <w:rsid w:val="001B18A2"/>
    <w:rsid w:val="001B559B"/>
    <w:rsid w:val="001B5AB2"/>
    <w:rsid w:val="001B625A"/>
    <w:rsid w:val="001B6917"/>
    <w:rsid w:val="001B6F9A"/>
    <w:rsid w:val="001B776B"/>
    <w:rsid w:val="001C09D7"/>
    <w:rsid w:val="001C14BA"/>
    <w:rsid w:val="001C2F06"/>
    <w:rsid w:val="001C3243"/>
    <w:rsid w:val="001C41D9"/>
    <w:rsid w:val="001C4571"/>
    <w:rsid w:val="001C5C0D"/>
    <w:rsid w:val="001C6C05"/>
    <w:rsid w:val="001D2361"/>
    <w:rsid w:val="001D56FF"/>
    <w:rsid w:val="001D6A05"/>
    <w:rsid w:val="001D6AF5"/>
    <w:rsid w:val="001E0D54"/>
    <w:rsid w:val="001E35C0"/>
    <w:rsid w:val="001E7B48"/>
    <w:rsid w:val="001F0E3A"/>
    <w:rsid w:val="001F0FF4"/>
    <w:rsid w:val="001F1CE1"/>
    <w:rsid w:val="001F261B"/>
    <w:rsid w:val="001F33A6"/>
    <w:rsid w:val="001F4512"/>
    <w:rsid w:val="00200CF2"/>
    <w:rsid w:val="0020306B"/>
    <w:rsid w:val="00204BC9"/>
    <w:rsid w:val="0021242C"/>
    <w:rsid w:val="00213AA2"/>
    <w:rsid w:val="00213D6E"/>
    <w:rsid w:val="00213EF3"/>
    <w:rsid w:val="00214C70"/>
    <w:rsid w:val="00215C1B"/>
    <w:rsid w:val="0021647F"/>
    <w:rsid w:val="00220798"/>
    <w:rsid w:val="00220E2E"/>
    <w:rsid w:val="00221F3A"/>
    <w:rsid w:val="00222A47"/>
    <w:rsid w:val="00224632"/>
    <w:rsid w:val="002255F6"/>
    <w:rsid w:val="00226CD0"/>
    <w:rsid w:val="00231130"/>
    <w:rsid w:val="00233F81"/>
    <w:rsid w:val="002352F8"/>
    <w:rsid w:val="002357FB"/>
    <w:rsid w:val="00235A95"/>
    <w:rsid w:val="00237294"/>
    <w:rsid w:val="0023788E"/>
    <w:rsid w:val="00237AAB"/>
    <w:rsid w:val="00237F20"/>
    <w:rsid w:val="00240332"/>
    <w:rsid w:val="002410F5"/>
    <w:rsid w:val="00242FE8"/>
    <w:rsid w:val="0024413F"/>
    <w:rsid w:val="002443BB"/>
    <w:rsid w:val="00244C95"/>
    <w:rsid w:val="00244E2A"/>
    <w:rsid w:val="002453EA"/>
    <w:rsid w:val="002460E5"/>
    <w:rsid w:val="00247098"/>
    <w:rsid w:val="00247581"/>
    <w:rsid w:val="00250C8D"/>
    <w:rsid w:val="00250F89"/>
    <w:rsid w:val="00251E50"/>
    <w:rsid w:val="00252EA2"/>
    <w:rsid w:val="00253FB0"/>
    <w:rsid w:val="002543C2"/>
    <w:rsid w:val="002560D8"/>
    <w:rsid w:val="00257626"/>
    <w:rsid w:val="00261F0E"/>
    <w:rsid w:val="0026285A"/>
    <w:rsid w:val="00263F99"/>
    <w:rsid w:val="0026441A"/>
    <w:rsid w:val="002655B2"/>
    <w:rsid w:val="002660BC"/>
    <w:rsid w:val="002704D9"/>
    <w:rsid w:val="0027085B"/>
    <w:rsid w:val="00270ED6"/>
    <w:rsid w:val="00272A44"/>
    <w:rsid w:val="00273B4D"/>
    <w:rsid w:val="00277333"/>
    <w:rsid w:val="00277E04"/>
    <w:rsid w:val="00277EAB"/>
    <w:rsid w:val="002804BF"/>
    <w:rsid w:val="002811C0"/>
    <w:rsid w:val="002816B4"/>
    <w:rsid w:val="00284560"/>
    <w:rsid w:val="00284EB2"/>
    <w:rsid w:val="00285D33"/>
    <w:rsid w:val="00286B2E"/>
    <w:rsid w:val="00286CEA"/>
    <w:rsid w:val="002907F3"/>
    <w:rsid w:val="00290B61"/>
    <w:rsid w:val="00293238"/>
    <w:rsid w:val="00293A63"/>
    <w:rsid w:val="0029509D"/>
    <w:rsid w:val="00296301"/>
    <w:rsid w:val="00296BC1"/>
    <w:rsid w:val="002A2CBA"/>
    <w:rsid w:val="002A77B5"/>
    <w:rsid w:val="002B140E"/>
    <w:rsid w:val="002B2D53"/>
    <w:rsid w:val="002B4A35"/>
    <w:rsid w:val="002B6BFE"/>
    <w:rsid w:val="002B702F"/>
    <w:rsid w:val="002B706C"/>
    <w:rsid w:val="002B7439"/>
    <w:rsid w:val="002C1FD4"/>
    <w:rsid w:val="002C4176"/>
    <w:rsid w:val="002C5B3D"/>
    <w:rsid w:val="002C65BF"/>
    <w:rsid w:val="002D093C"/>
    <w:rsid w:val="002D0CF6"/>
    <w:rsid w:val="002D2A05"/>
    <w:rsid w:val="002D317A"/>
    <w:rsid w:val="002D6F41"/>
    <w:rsid w:val="002D7672"/>
    <w:rsid w:val="002E0FFE"/>
    <w:rsid w:val="002E2A64"/>
    <w:rsid w:val="002E5E84"/>
    <w:rsid w:val="002E6072"/>
    <w:rsid w:val="002E7DA7"/>
    <w:rsid w:val="002F0525"/>
    <w:rsid w:val="002F0F3C"/>
    <w:rsid w:val="002F20CC"/>
    <w:rsid w:val="002F3E44"/>
    <w:rsid w:val="002F69A6"/>
    <w:rsid w:val="002F72DC"/>
    <w:rsid w:val="002F75E7"/>
    <w:rsid w:val="00300EE1"/>
    <w:rsid w:val="0030373E"/>
    <w:rsid w:val="0030484A"/>
    <w:rsid w:val="00304CE4"/>
    <w:rsid w:val="00305C20"/>
    <w:rsid w:val="00305CAD"/>
    <w:rsid w:val="00306C0D"/>
    <w:rsid w:val="00307B21"/>
    <w:rsid w:val="003101F6"/>
    <w:rsid w:val="00312D72"/>
    <w:rsid w:val="0031534E"/>
    <w:rsid w:val="0031732A"/>
    <w:rsid w:val="003206AC"/>
    <w:rsid w:val="0032086E"/>
    <w:rsid w:val="00321527"/>
    <w:rsid w:val="00322FC6"/>
    <w:rsid w:val="0032346E"/>
    <w:rsid w:val="00323638"/>
    <w:rsid w:val="00324431"/>
    <w:rsid w:val="0032660E"/>
    <w:rsid w:val="00326D13"/>
    <w:rsid w:val="00326EEF"/>
    <w:rsid w:val="0033025D"/>
    <w:rsid w:val="0033149A"/>
    <w:rsid w:val="00332B2C"/>
    <w:rsid w:val="00333622"/>
    <w:rsid w:val="00335A19"/>
    <w:rsid w:val="00336AB0"/>
    <w:rsid w:val="00337D64"/>
    <w:rsid w:val="00341608"/>
    <w:rsid w:val="0034253F"/>
    <w:rsid w:val="00343BAB"/>
    <w:rsid w:val="003462B4"/>
    <w:rsid w:val="0035007C"/>
    <w:rsid w:val="0035083A"/>
    <w:rsid w:val="00350C36"/>
    <w:rsid w:val="0035264E"/>
    <w:rsid w:val="00355F62"/>
    <w:rsid w:val="00356C83"/>
    <w:rsid w:val="00356F0F"/>
    <w:rsid w:val="0036086A"/>
    <w:rsid w:val="00363CD1"/>
    <w:rsid w:val="003668E7"/>
    <w:rsid w:val="00371AD7"/>
    <w:rsid w:val="00372632"/>
    <w:rsid w:val="00380624"/>
    <w:rsid w:val="00380D98"/>
    <w:rsid w:val="00380F01"/>
    <w:rsid w:val="00382A33"/>
    <w:rsid w:val="00385C73"/>
    <w:rsid w:val="00393456"/>
    <w:rsid w:val="00395D25"/>
    <w:rsid w:val="003A2061"/>
    <w:rsid w:val="003A2D09"/>
    <w:rsid w:val="003A3BCC"/>
    <w:rsid w:val="003A5920"/>
    <w:rsid w:val="003A671C"/>
    <w:rsid w:val="003B0103"/>
    <w:rsid w:val="003B0E60"/>
    <w:rsid w:val="003B18C3"/>
    <w:rsid w:val="003B20FB"/>
    <w:rsid w:val="003B31F0"/>
    <w:rsid w:val="003B440D"/>
    <w:rsid w:val="003B50AE"/>
    <w:rsid w:val="003B68F7"/>
    <w:rsid w:val="003B7A68"/>
    <w:rsid w:val="003C048E"/>
    <w:rsid w:val="003C0A1D"/>
    <w:rsid w:val="003C3AF6"/>
    <w:rsid w:val="003C6482"/>
    <w:rsid w:val="003C6F71"/>
    <w:rsid w:val="003C74C8"/>
    <w:rsid w:val="003C7663"/>
    <w:rsid w:val="003C7D9E"/>
    <w:rsid w:val="003D38EA"/>
    <w:rsid w:val="003D3DC9"/>
    <w:rsid w:val="003E22B9"/>
    <w:rsid w:val="003E2781"/>
    <w:rsid w:val="003E28F5"/>
    <w:rsid w:val="003E4A3B"/>
    <w:rsid w:val="003E4C74"/>
    <w:rsid w:val="003E5053"/>
    <w:rsid w:val="003E5BAD"/>
    <w:rsid w:val="003E6D4E"/>
    <w:rsid w:val="003F2A05"/>
    <w:rsid w:val="003F5944"/>
    <w:rsid w:val="003F73FF"/>
    <w:rsid w:val="004034C9"/>
    <w:rsid w:val="004044DE"/>
    <w:rsid w:val="004063B9"/>
    <w:rsid w:val="00406740"/>
    <w:rsid w:val="00407C0D"/>
    <w:rsid w:val="00415C79"/>
    <w:rsid w:val="00416EAD"/>
    <w:rsid w:val="00420FC5"/>
    <w:rsid w:val="00421A07"/>
    <w:rsid w:val="00423393"/>
    <w:rsid w:val="004235E4"/>
    <w:rsid w:val="00423E54"/>
    <w:rsid w:val="00423FA6"/>
    <w:rsid w:val="004326A2"/>
    <w:rsid w:val="00432A1A"/>
    <w:rsid w:val="00437264"/>
    <w:rsid w:val="00437F09"/>
    <w:rsid w:val="00441BDA"/>
    <w:rsid w:val="00443B9F"/>
    <w:rsid w:val="004475CE"/>
    <w:rsid w:val="00453DE7"/>
    <w:rsid w:val="0045683C"/>
    <w:rsid w:val="00456B3D"/>
    <w:rsid w:val="00456F0F"/>
    <w:rsid w:val="004659BA"/>
    <w:rsid w:val="004675F0"/>
    <w:rsid w:val="0047321D"/>
    <w:rsid w:val="00473ADD"/>
    <w:rsid w:val="00474011"/>
    <w:rsid w:val="004759CB"/>
    <w:rsid w:val="00475C54"/>
    <w:rsid w:val="004773EA"/>
    <w:rsid w:val="004809C2"/>
    <w:rsid w:val="0048274F"/>
    <w:rsid w:val="00483733"/>
    <w:rsid w:val="00485705"/>
    <w:rsid w:val="00491EC8"/>
    <w:rsid w:val="0049209C"/>
    <w:rsid w:val="004961B3"/>
    <w:rsid w:val="0049691A"/>
    <w:rsid w:val="00496AB1"/>
    <w:rsid w:val="004A1960"/>
    <w:rsid w:val="004A2D7B"/>
    <w:rsid w:val="004A33BD"/>
    <w:rsid w:val="004A3999"/>
    <w:rsid w:val="004A4249"/>
    <w:rsid w:val="004A42C2"/>
    <w:rsid w:val="004A4D63"/>
    <w:rsid w:val="004A54B8"/>
    <w:rsid w:val="004B1023"/>
    <w:rsid w:val="004B22E6"/>
    <w:rsid w:val="004B2C70"/>
    <w:rsid w:val="004C09EC"/>
    <w:rsid w:val="004C1045"/>
    <w:rsid w:val="004C2378"/>
    <w:rsid w:val="004C3841"/>
    <w:rsid w:val="004C77CD"/>
    <w:rsid w:val="004C7ADE"/>
    <w:rsid w:val="004D25C6"/>
    <w:rsid w:val="004D5F76"/>
    <w:rsid w:val="004D77FA"/>
    <w:rsid w:val="004E0016"/>
    <w:rsid w:val="004E2D48"/>
    <w:rsid w:val="004E4919"/>
    <w:rsid w:val="004E595A"/>
    <w:rsid w:val="004F1B71"/>
    <w:rsid w:val="004F255D"/>
    <w:rsid w:val="004F36EB"/>
    <w:rsid w:val="004F4F6F"/>
    <w:rsid w:val="004F4F9C"/>
    <w:rsid w:val="004F555E"/>
    <w:rsid w:val="004F7376"/>
    <w:rsid w:val="00500230"/>
    <w:rsid w:val="00501D7D"/>
    <w:rsid w:val="005025CB"/>
    <w:rsid w:val="0050354D"/>
    <w:rsid w:val="005066B6"/>
    <w:rsid w:val="00506F87"/>
    <w:rsid w:val="00510D25"/>
    <w:rsid w:val="00512015"/>
    <w:rsid w:val="00512649"/>
    <w:rsid w:val="00512E0D"/>
    <w:rsid w:val="005149E4"/>
    <w:rsid w:val="00515837"/>
    <w:rsid w:val="005167F9"/>
    <w:rsid w:val="00516A67"/>
    <w:rsid w:val="00517CF5"/>
    <w:rsid w:val="00517EBA"/>
    <w:rsid w:val="005233A5"/>
    <w:rsid w:val="00523C54"/>
    <w:rsid w:val="00523D80"/>
    <w:rsid w:val="00526D52"/>
    <w:rsid w:val="00527862"/>
    <w:rsid w:val="0053197A"/>
    <w:rsid w:val="0053314C"/>
    <w:rsid w:val="005333C2"/>
    <w:rsid w:val="00533412"/>
    <w:rsid w:val="005353AC"/>
    <w:rsid w:val="005364E4"/>
    <w:rsid w:val="00536E5E"/>
    <w:rsid w:val="005406AA"/>
    <w:rsid w:val="00543260"/>
    <w:rsid w:val="005438EA"/>
    <w:rsid w:val="00544480"/>
    <w:rsid w:val="00544DB1"/>
    <w:rsid w:val="00544DE0"/>
    <w:rsid w:val="005466C8"/>
    <w:rsid w:val="00550835"/>
    <w:rsid w:val="00550CD9"/>
    <w:rsid w:val="00551260"/>
    <w:rsid w:val="00551832"/>
    <w:rsid w:val="00551937"/>
    <w:rsid w:val="00551FC1"/>
    <w:rsid w:val="0055375D"/>
    <w:rsid w:val="00554584"/>
    <w:rsid w:val="00556006"/>
    <w:rsid w:val="00556BDB"/>
    <w:rsid w:val="00557D6F"/>
    <w:rsid w:val="00557F23"/>
    <w:rsid w:val="0056031E"/>
    <w:rsid w:val="00560828"/>
    <w:rsid w:val="00562360"/>
    <w:rsid w:val="00566FA4"/>
    <w:rsid w:val="005676CF"/>
    <w:rsid w:val="00567BAC"/>
    <w:rsid w:val="00572006"/>
    <w:rsid w:val="00572344"/>
    <w:rsid w:val="00573B25"/>
    <w:rsid w:val="00576B55"/>
    <w:rsid w:val="00577F73"/>
    <w:rsid w:val="00580E82"/>
    <w:rsid w:val="0058162E"/>
    <w:rsid w:val="00582D4B"/>
    <w:rsid w:val="0058304F"/>
    <w:rsid w:val="00585CAE"/>
    <w:rsid w:val="00586FC3"/>
    <w:rsid w:val="005904D6"/>
    <w:rsid w:val="00591EEF"/>
    <w:rsid w:val="0059219A"/>
    <w:rsid w:val="00596945"/>
    <w:rsid w:val="005970CE"/>
    <w:rsid w:val="005A062A"/>
    <w:rsid w:val="005A063E"/>
    <w:rsid w:val="005A0E04"/>
    <w:rsid w:val="005A1817"/>
    <w:rsid w:val="005A44C1"/>
    <w:rsid w:val="005A511A"/>
    <w:rsid w:val="005B38F3"/>
    <w:rsid w:val="005C1E15"/>
    <w:rsid w:val="005C20EA"/>
    <w:rsid w:val="005C4306"/>
    <w:rsid w:val="005C478D"/>
    <w:rsid w:val="005C6980"/>
    <w:rsid w:val="005C69E0"/>
    <w:rsid w:val="005C6DCF"/>
    <w:rsid w:val="005D0227"/>
    <w:rsid w:val="005D1832"/>
    <w:rsid w:val="005D2D63"/>
    <w:rsid w:val="005D3D86"/>
    <w:rsid w:val="005D3E74"/>
    <w:rsid w:val="005D437F"/>
    <w:rsid w:val="005D5A52"/>
    <w:rsid w:val="005D7C66"/>
    <w:rsid w:val="005E1F37"/>
    <w:rsid w:val="005E22D7"/>
    <w:rsid w:val="005E3202"/>
    <w:rsid w:val="005E51B1"/>
    <w:rsid w:val="005E7515"/>
    <w:rsid w:val="005E773A"/>
    <w:rsid w:val="005F0F9D"/>
    <w:rsid w:val="005F18A2"/>
    <w:rsid w:val="005F3A36"/>
    <w:rsid w:val="005F3E96"/>
    <w:rsid w:val="005F44A7"/>
    <w:rsid w:val="005F7EE4"/>
    <w:rsid w:val="00600D56"/>
    <w:rsid w:val="00601E58"/>
    <w:rsid w:val="006022E2"/>
    <w:rsid w:val="0060379D"/>
    <w:rsid w:val="00604FA0"/>
    <w:rsid w:val="0061016C"/>
    <w:rsid w:val="0061056D"/>
    <w:rsid w:val="0061362B"/>
    <w:rsid w:val="00613F60"/>
    <w:rsid w:val="006148E0"/>
    <w:rsid w:val="00614954"/>
    <w:rsid w:val="006171EC"/>
    <w:rsid w:val="00617AA2"/>
    <w:rsid w:val="006231A7"/>
    <w:rsid w:val="0062439A"/>
    <w:rsid w:val="00626815"/>
    <w:rsid w:val="00630143"/>
    <w:rsid w:val="006322E7"/>
    <w:rsid w:val="00640959"/>
    <w:rsid w:val="0064119D"/>
    <w:rsid w:val="006413E2"/>
    <w:rsid w:val="006419A8"/>
    <w:rsid w:val="00643DEA"/>
    <w:rsid w:val="0064606B"/>
    <w:rsid w:val="00647AA3"/>
    <w:rsid w:val="006500DE"/>
    <w:rsid w:val="00653A71"/>
    <w:rsid w:val="00656C04"/>
    <w:rsid w:val="00662AB3"/>
    <w:rsid w:val="0066635D"/>
    <w:rsid w:val="00666C92"/>
    <w:rsid w:val="00671151"/>
    <w:rsid w:val="0067399C"/>
    <w:rsid w:val="006749AB"/>
    <w:rsid w:val="00675865"/>
    <w:rsid w:val="006764DD"/>
    <w:rsid w:val="00677DDC"/>
    <w:rsid w:val="00681BA7"/>
    <w:rsid w:val="00684FAE"/>
    <w:rsid w:val="00685636"/>
    <w:rsid w:val="006858E0"/>
    <w:rsid w:val="006865E4"/>
    <w:rsid w:val="006908A3"/>
    <w:rsid w:val="006940A5"/>
    <w:rsid w:val="00694DF3"/>
    <w:rsid w:val="00695C87"/>
    <w:rsid w:val="00696AA7"/>
    <w:rsid w:val="006A5A3C"/>
    <w:rsid w:val="006B261C"/>
    <w:rsid w:val="006B4EA6"/>
    <w:rsid w:val="006C1891"/>
    <w:rsid w:val="006C2A07"/>
    <w:rsid w:val="006C3EF4"/>
    <w:rsid w:val="006C4521"/>
    <w:rsid w:val="006C47B0"/>
    <w:rsid w:val="006C557F"/>
    <w:rsid w:val="006C5C1A"/>
    <w:rsid w:val="006C606A"/>
    <w:rsid w:val="006C6647"/>
    <w:rsid w:val="006C6B48"/>
    <w:rsid w:val="006D05AC"/>
    <w:rsid w:val="006D6C26"/>
    <w:rsid w:val="006D78DB"/>
    <w:rsid w:val="006E2F9E"/>
    <w:rsid w:val="006E7D38"/>
    <w:rsid w:val="006F4C94"/>
    <w:rsid w:val="007008A7"/>
    <w:rsid w:val="0070147A"/>
    <w:rsid w:val="00702A4E"/>
    <w:rsid w:val="00704F74"/>
    <w:rsid w:val="00711B6E"/>
    <w:rsid w:val="0071215C"/>
    <w:rsid w:val="0071269A"/>
    <w:rsid w:val="00713885"/>
    <w:rsid w:val="0071677A"/>
    <w:rsid w:val="00716D69"/>
    <w:rsid w:val="0072164F"/>
    <w:rsid w:val="00722235"/>
    <w:rsid w:val="00724936"/>
    <w:rsid w:val="00725053"/>
    <w:rsid w:val="00726998"/>
    <w:rsid w:val="0072770D"/>
    <w:rsid w:val="00727E0A"/>
    <w:rsid w:val="00731033"/>
    <w:rsid w:val="00732453"/>
    <w:rsid w:val="007327BE"/>
    <w:rsid w:val="007337B6"/>
    <w:rsid w:val="007366C5"/>
    <w:rsid w:val="00736A0E"/>
    <w:rsid w:val="007379B1"/>
    <w:rsid w:val="00742CCF"/>
    <w:rsid w:val="00743779"/>
    <w:rsid w:val="00744D25"/>
    <w:rsid w:val="007450DD"/>
    <w:rsid w:val="0074686D"/>
    <w:rsid w:val="00746D09"/>
    <w:rsid w:val="007536D8"/>
    <w:rsid w:val="00755156"/>
    <w:rsid w:val="00756515"/>
    <w:rsid w:val="007606E8"/>
    <w:rsid w:val="00760B9B"/>
    <w:rsid w:val="00760FAE"/>
    <w:rsid w:val="007614A0"/>
    <w:rsid w:val="00761C73"/>
    <w:rsid w:val="00761D79"/>
    <w:rsid w:val="00763585"/>
    <w:rsid w:val="00763691"/>
    <w:rsid w:val="00770CE9"/>
    <w:rsid w:val="00771A33"/>
    <w:rsid w:val="007727F5"/>
    <w:rsid w:val="00772F79"/>
    <w:rsid w:val="00776089"/>
    <w:rsid w:val="00776998"/>
    <w:rsid w:val="00777B4E"/>
    <w:rsid w:val="00780436"/>
    <w:rsid w:val="007833BC"/>
    <w:rsid w:val="007864AB"/>
    <w:rsid w:val="00786E11"/>
    <w:rsid w:val="00787211"/>
    <w:rsid w:val="0079016F"/>
    <w:rsid w:val="00790845"/>
    <w:rsid w:val="007928BD"/>
    <w:rsid w:val="00795DBD"/>
    <w:rsid w:val="00796EF1"/>
    <w:rsid w:val="007972EF"/>
    <w:rsid w:val="007A0029"/>
    <w:rsid w:val="007A034B"/>
    <w:rsid w:val="007A0761"/>
    <w:rsid w:val="007A10C6"/>
    <w:rsid w:val="007A1449"/>
    <w:rsid w:val="007A3589"/>
    <w:rsid w:val="007A4B1B"/>
    <w:rsid w:val="007A4B8D"/>
    <w:rsid w:val="007A5382"/>
    <w:rsid w:val="007A6C96"/>
    <w:rsid w:val="007A7F04"/>
    <w:rsid w:val="007B23B1"/>
    <w:rsid w:val="007B4701"/>
    <w:rsid w:val="007B51E7"/>
    <w:rsid w:val="007B7AB4"/>
    <w:rsid w:val="007C291E"/>
    <w:rsid w:val="007D0C32"/>
    <w:rsid w:val="007D0D1C"/>
    <w:rsid w:val="007D0EFC"/>
    <w:rsid w:val="007D1972"/>
    <w:rsid w:val="007D1D04"/>
    <w:rsid w:val="007D2515"/>
    <w:rsid w:val="007D2C1D"/>
    <w:rsid w:val="007D4CEE"/>
    <w:rsid w:val="007D583C"/>
    <w:rsid w:val="007D5C26"/>
    <w:rsid w:val="007D6052"/>
    <w:rsid w:val="007D62E2"/>
    <w:rsid w:val="007D761A"/>
    <w:rsid w:val="007E1CB1"/>
    <w:rsid w:val="007E45AE"/>
    <w:rsid w:val="007E4D05"/>
    <w:rsid w:val="007E79E6"/>
    <w:rsid w:val="007F1AC5"/>
    <w:rsid w:val="007F5433"/>
    <w:rsid w:val="00800988"/>
    <w:rsid w:val="00801396"/>
    <w:rsid w:val="0080185D"/>
    <w:rsid w:val="00801C75"/>
    <w:rsid w:val="00804198"/>
    <w:rsid w:val="00804FD5"/>
    <w:rsid w:val="008060CC"/>
    <w:rsid w:val="008064BE"/>
    <w:rsid w:val="00813203"/>
    <w:rsid w:val="00815D02"/>
    <w:rsid w:val="008203EA"/>
    <w:rsid w:val="00820996"/>
    <w:rsid w:val="00821253"/>
    <w:rsid w:val="0082198F"/>
    <w:rsid w:val="00822DE1"/>
    <w:rsid w:val="00823B16"/>
    <w:rsid w:val="00824F09"/>
    <w:rsid w:val="0082772B"/>
    <w:rsid w:val="00831383"/>
    <w:rsid w:val="00833A59"/>
    <w:rsid w:val="00833C98"/>
    <w:rsid w:val="008348CC"/>
    <w:rsid w:val="008363B5"/>
    <w:rsid w:val="00841596"/>
    <w:rsid w:val="008432D6"/>
    <w:rsid w:val="00843C5B"/>
    <w:rsid w:val="00844144"/>
    <w:rsid w:val="00844956"/>
    <w:rsid w:val="008449CA"/>
    <w:rsid w:val="00845120"/>
    <w:rsid w:val="00846D98"/>
    <w:rsid w:val="00851FC4"/>
    <w:rsid w:val="008521A5"/>
    <w:rsid w:val="00852384"/>
    <w:rsid w:val="008523CB"/>
    <w:rsid w:val="00852643"/>
    <w:rsid w:val="008540D3"/>
    <w:rsid w:val="00857953"/>
    <w:rsid w:val="00860474"/>
    <w:rsid w:val="00860A80"/>
    <w:rsid w:val="00863D34"/>
    <w:rsid w:val="00864E3F"/>
    <w:rsid w:val="0086517E"/>
    <w:rsid w:val="00865FF5"/>
    <w:rsid w:val="00870A95"/>
    <w:rsid w:val="008820F2"/>
    <w:rsid w:val="008830D7"/>
    <w:rsid w:val="008842D8"/>
    <w:rsid w:val="00884382"/>
    <w:rsid w:val="00885281"/>
    <w:rsid w:val="00885D92"/>
    <w:rsid w:val="00886DB9"/>
    <w:rsid w:val="008919B6"/>
    <w:rsid w:val="008921E0"/>
    <w:rsid w:val="008937E3"/>
    <w:rsid w:val="008942E6"/>
    <w:rsid w:val="00894C7A"/>
    <w:rsid w:val="00895788"/>
    <w:rsid w:val="0089724F"/>
    <w:rsid w:val="008976CE"/>
    <w:rsid w:val="008A0087"/>
    <w:rsid w:val="008A0958"/>
    <w:rsid w:val="008A0FC9"/>
    <w:rsid w:val="008A2FED"/>
    <w:rsid w:val="008A4CF5"/>
    <w:rsid w:val="008A617E"/>
    <w:rsid w:val="008A6214"/>
    <w:rsid w:val="008B0D3F"/>
    <w:rsid w:val="008B1A10"/>
    <w:rsid w:val="008B2610"/>
    <w:rsid w:val="008B4CD3"/>
    <w:rsid w:val="008C1AEB"/>
    <w:rsid w:val="008C1FEE"/>
    <w:rsid w:val="008C536A"/>
    <w:rsid w:val="008C7C9D"/>
    <w:rsid w:val="008D1F1A"/>
    <w:rsid w:val="008D3046"/>
    <w:rsid w:val="008D3F61"/>
    <w:rsid w:val="008D46EA"/>
    <w:rsid w:val="008D5DAD"/>
    <w:rsid w:val="008D628E"/>
    <w:rsid w:val="008E09C7"/>
    <w:rsid w:val="008E24AB"/>
    <w:rsid w:val="008E3AF6"/>
    <w:rsid w:val="008E3FD1"/>
    <w:rsid w:val="008E5BC8"/>
    <w:rsid w:val="008F075F"/>
    <w:rsid w:val="008F0EFB"/>
    <w:rsid w:val="008F0EFE"/>
    <w:rsid w:val="008F2FB5"/>
    <w:rsid w:val="008F452C"/>
    <w:rsid w:val="008F61C9"/>
    <w:rsid w:val="008F7718"/>
    <w:rsid w:val="0090172C"/>
    <w:rsid w:val="0090265D"/>
    <w:rsid w:val="009037A5"/>
    <w:rsid w:val="0090494C"/>
    <w:rsid w:val="00906118"/>
    <w:rsid w:val="00907670"/>
    <w:rsid w:val="00911F23"/>
    <w:rsid w:val="00912EB6"/>
    <w:rsid w:val="00914300"/>
    <w:rsid w:val="00917941"/>
    <w:rsid w:val="00917F73"/>
    <w:rsid w:val="009204C4"/>
    <w:rsid w:val="00920980"/>
    <w:rsid w:val="00920E18"/>
    <w:rsid w:val="0092295A"/>
    <w:rsid w:val="00922C94"/>
    <w:rsid w:val="00922FB4"/>
    <w:rsid w:val="009246A2"/>
    <w:rsid w:val="0092488C"/>
    <w:rsid w:val="009265A3"/>
    <w:rsid w:val="00926E0B"/>
    <w:rsid w:val="00932178"/>
    <w:rsid w:val="00932F4F"/>
    <w:rsid w:val="00934704"/>
    <w:rsid w:val="00935E47"/>
    <w:rsid w:val="00937C57"/>
    <w:rsid w:val="009428FB"/>
    <w:rsid w:val="00942C50"/>
    <w:rsid w:val="0094312A"/>
    <w:rsid w:val="0094361E"/>
    <w:rsid w:val="00943C8A"/>
    <w:rsid w:val="009447AA"/>
    <w:rsid w:val="00945AEA"/>
    <w:rsid w:val="0094657F"/>
    <w:rsid w:val="00946998"/>
    <w:rsid w:val="00947CCD"/>
    <w:rsid w:val="00950A0B"/>
    <w:rsid w:val="009600C7"/>
    <w:rsid w:val="00964557"/>
    <w:rsid w:val="009665B8"/>
    <w:rsid w:val="009710E0"/>
    <w:rsid w:val="00974A91"/>
    <w:rsid w:val="00975650"/>
    <w:rsid w:val="00975BA7"/>
    <w:rsid w:val="00976FBD"/>
    <w:rsid w:val="00981286"/>
    <w:rsid w:val="00981666"/>
    <w:rsid w:val="00982331"/>
    <w:rsid w:val="00985771"/>
    <w:rsid w:val="00985D40"/>
    <w:rsid w:val="00985E7B"/>
    <w:rsid w:val="00986B37"/>
    <w:rsid w:val="0098700F"/>
    <w:rsid w:val="00990880"/>
    <w:rsid w:val="009909C2"/>
    <w:rsid w:val="009939CB"/>
    <w:rsid w:val="00997190"/>
    <w:rsid w:val="00997DFE"/>
    <w:rsid w:val="009A32B8"/>
    <w:rsid w:val="009A5637"/>
    <w:rsid w:val="009A5B5C"/>
    <w:rsid w:val="009A6096"/>
    <w:rsid w:val="009B1346"/>
    <w:rsid w:val="009B16A8"/>
    <w:rsid w:val="009C0968"/>
    <w:rsid w:val="009C34D8"/>
    <w:rsid w:val="009C5289"/>
    <w:rsid w:val="009C589C"/>
    <w:rsid w:val="009C76BF"/>
    <w:rsid w:val="009C7CC8"/>
    <w:rsid w:val="009D0AEE"/>
    <w:rsid w:val="009D0C05"/>
    <w:rsid w:val="009D156A"/>
    <w:rsid w:val="009D2D7C"/>
    <w:rsid w:val="009D33B3"/>
    <w:rsid w:val="009D7985"/>
    <w:rsid w:val="009D7D88"/>
    <w:rsid w:val="009D7F1D"/>
    <w:rsid w:val="009E3819"/>
    <w:rsid w:val="009E54FA"/>
    <w:rsid w:val="009E6A0E"/>
    <w:rsid w:val="009F0A3B"/>
    <w:rsid w:val="009F0E41"/>
    <w:rsid w:val="009F1ED4"/>
    <w:rsid w:val="009F3581"/>
    <w:rsid w:val="009F3B33"/>
    <w:rsid w:val="009F3D26"/>
    <w:rsid w:val="009F4947"/>
    <w:rsid w:val="009F5F01"/>
    <w:rsid w:val="009F7E84"/>
    <w:rsid w:val="00A008AD"/>
    <w:rsid w:val="00A011FD"/>
    <w:rsid w:val="00A03CF5"/>
    <w:rsid w:val="00A04F56"/>
    <w:rsid w:val="00A0520D"/>
    <w:rsid w:val="00A0557B"/>
    <w:rsid w:val="00A07AD9"/>
    <w:rsid w:val="00A107ED"/>
    <w:rsid w:val="00A10C31"/>
    <w:rsid w:val="00A11A3C"/>
    <w:rsid w:val="00A12007"/>
    <w:rsid w:val="00A128AB"/>
    <w:rsid w:val="00A12DDA"/>
    <w:rsid w:val="00A155D1"/>
    <w:rsid w:val="00A16281"/>
    <w:rsid w:val="00A175A1"/>
    <w:rsid w:val="00A178B1"/>
    <w:rsid w:val="00A23C5C"/>
    <w:rsid w:val="00A33BD6"/>
    <w:rsid w:val="00A35C4C"/>
    <w:rsid w:val="00A37E97"/>
    <w:rsid w:val="00A44769"/>
    <w:rsid w:val="00A47C23"/>
    <w:rsid w:val="00A516A4"/>
    <w:rsid w:val="00A51754"/>
    <w:rsid w:val="00A52475"/>
    <w:rsid w:val="00A5289B"/>
    <w:rsid w:val="00A52A00"/>
    <w:rsid w:val="00A54250"/>
    <w:rsid w:val="00A558EC"/>
    <w:rsid w:val="00A56DF7"/>
    <w:rsid w:val="00A57289"/>
    <w:rsid w:val="00A5792F"/>
    <w:rsid w:val="00A6052A"/>
    <w:rsid w:val="00A6064A"/>
    <w:rsid w:val="00A61127"/>
    <w:rsid w:val="00A614AA"/>
    <w:rsid w:val="00A65878"/>
    <w:rsid w:val="00A66C91"/>
    <w:rsid w:val="00A66D3E"/>
    <w:rsid w:val="00A66E04"/>
    <w:rsid w:val="00A70F1D"/>
    <w:rsid w:val="00A737C1"/>
    <w:rsid w:val="00A7575B"/>
    <w:rsid w:val="00A75B31"/>
    <w:rsid w:val="00A75FB3"/>
    <w:rsid w:val="00A76530"/>
    <w:rsid w:val="00A80748"/>
    <w:rsid w:val="00A81122"/>
    <w:rsid w:val="00A8171D"/>
    <w:rsid w:val="00A81E9D"/>
    <w:rsid w:val="00A864F2"/>
    <w:rsid w:val="00A873C3"/>
    <w:rsid w:val="00A87D3E"/>
    <w:rsid w:val="00A916EE"/>
    <w:rsid w:val="00A921A8"/>
    <w:rsid w:val="00A92D98"/>
    <w:rsid w:val="00A93700"/>
    <w:rsid w:val="00A93A27"/>
    <w:rsid w:val="00A95FDA"/>
    <w:rsid w:val="00A95FE2"/>
    <w:rsid w:val="00AA0188"/>
    <w:rsid w:val="00AA07DC"/>
    <w:rsid w:val="00AA142B"/>
    <w:rsid w:val="00AA323A"/>
    <w:rsid w:val="00AA32E6"/>
    <w:rsid w:val="00AA4B10"/>
    <w:rsid w:val="00AA4E7E"/>
    <w:rsid w:val="00AA7464"/>
    <w:rsid w:val="00AB50F9"/>
    <w:rsid w:val="00AB524C"/>
    <w:rsid w:val="00AB54B7"/>
    <w:rsid w:val="00AB7569"/>
    <w:rsid w:val="00AB7D98"/>
    <w:rsid w:val="00AC00A7"/>
    <w:rsid w:val="00AC0E7F"/>
    <w:rsid w:val="00AC45B4"/>
    <w:rsid w:val="00AC478B"/>
    <w:rsid w:val="00AC63B2"/>
    <w:rsid w:val="00AD0F03"/>
    <w:rsid w:val="00AD2490"/>
    <w:rsid w:val="00AD2712"/>
    <w:rsid w:val="00AD4A01"/>
    <w:rsid w:val="00AE064B"/>
    <w:rsid w:val="00AE0E44"/>
    <w:rsid w:val="00AE1426"/>
    <w:rsid w:val="00AE2D14"/>
    <w:rsid w:val="00AE3F9F"/>
    <w:rsid w:val="00AE45C1"/>
    <w:rsid w:val="00AE50E6"/>
    <w:rsid w:val="00AE6ED0"/>
    <w:rsid w:val="00AF3F1A"/>
    <w:rsid w:val="00AF3F85"/>
    <w:rsid w:val="00AF4E53"/>
    <w:rsid w:val="00AF5540"/>
    <w:rsid w:val="00AF5AB1"/>
    <w:rsid w:val="00AF7882"/>
    <w:rsid w:val="00AF7FA1"/>
    <w:rsid w:val="00B0002D"/>
    <w:rsid w:val="00B002FA"/>
    <w:rsid w:val="00B0031A"/>
    <w:rsid w:val="00B037C3"/>
    <w:rsid w:val="00B044F3"/>
    <w:rsid w:val="00B056B2"/>
    <w:rsid w:val="00B103E3"/>
    <w:rsid w:val="00B15E95"/>
    <w:rsid w:val="00B168A6"/>
    <w:rsid w:val="00B20103"/>
    <w:rsid w:val="00B2173D"/>
    <w:rsid w:val="00B22C7F"/>
    <w:rsid w:val="00B22ED5"/>
    <w:rsid w:val="00B25218"/>
    <w:rsid w:val="00B26016"/>
    <w:rsid w:val="00B33BA9"/>
    <w:rsid w:val="00B33DEE"/>
    <w:rsid w:val="00B3739B"/>
    <w:rsid w:val="00B451E1"/>
    <w:rsid w:val="00B461F8"/>
    <w:rsid w:val="00B46939"/>
    <w:rsid w:val="00B51858"/>
    <w:rsid w:val="00B554C1"/>
    <w:rsid w:val="00B56103"/>
    <w:rsid w:val="00B56553"/>
    <w:rsid w:val="00B57356"/>
    <w:rsid w:val="00B603C2"/>
    <w:rsid w:val="00B60D04"/>
    <w:rsid w:val="00B61791"/>
    <w:rsid w:val="00B61D83"/>
    <w:rsid w:val="00B6240D"/>
    <w:rsid w:val="00B633E5"/>
    <w:rsid w:val="00B6623F"/>
    <w:rsid w:val="00B66368"/>
    <w:rsid w:val="00B7032A"/>
    <w:rsid w:val="00B72715"/>
    <w:rsid w:val="00B72A55"/>
    <w:rsid w:val="00B746CB"/>
    <w:rsid w:val="00B74AFF"/>
    <w:rsid w:val="00B74CA1"/>
    <w:rsid w:val="00B74D8C"/>
    <w:rsid w:val="00B75C38"/>
    <w:rsid w:val="00B776CB"/>
    <w:rsid w:val="00B813B2"/>
    <w:rsid w:val="00B84758"/>
    <w:rsid w:val="00B857FD"/>
    <w:rsid w:val="00B85DA1"/>
    <w:rsid w:val="00B864D5"/>
    <w:rsid w:val="00B90FEC"/>
    <w:rsid w:val="00B91AFC"/>
    <w:rsid w:val="00B92850"/>
    <w:rsid w:val="00B93A7C"/>
    <w:rsid w:val="00B94A58"/>
    <w:rsid w:val="00B951D7"/>
    <w:rsid w:val="00BA09BE"/>
    <w:rsid w:val="00BA339E"/>
    <w:rsid w:val="00BA3491"/>
    <w:rsid w:val="00BA3B18"/>
    <w:rsid w:val="00BB024A"/>
    <w:rsid w:val="00BB0860"/>
    <w:rsid w:val="00BB22DC"/>
    <w:rsid w:val="00BB2BCE"/>
    <w:rsid w:val="00BB3566"/>
    <w:rsid w:val="00BB4878"/>
    <w:rsid w:val="00BB759D"/>
    <w:rsid w:val="00BB7A79"/>
    <w:rsid w:val="00BC15FB"/>
    <w:rsid w:val="00BC2DD9"/>
    <w:rsid w:val="00BC6B5A"/>
    <w:rsid w:val="00BD1526"/>
    <w:rsid w:val="00BD1634"/>
    <w:rsid w:val="00BD20DD"/>
    <w:rsid w:val="00BD34E3"/>
    <w:rsid w:val="00BD4111"/>
    <w:rsid w:val="00BD47EF"/>
    <w:rsid w:val="00BE33B5"/>
    <w:rsid w:val="00BE54C2"/>
    <w:rsid w:val="00BE7A79"/>
    <w:rsid w:val="00BF2960"/>
    <w:rsid w:val="00BF2966"/>
    <w:rsid w:val="00BF3279"/>
    <w:rsid w:val="00BF76CC"/>
    <w:rsid w:val="00C04AAD"/>
    <w:rsid w:val="00C06601"/>
    <w:rsid w:val="00C12034"/>
    <w:rsid w:val="00C12F5D"/>
    <w:rsid w:val="00C1516F"/>
    <w:rsid w:val="00C153D2"/>
    <w:rsid w:val="00C219C4"/>
    <w:rsid w:val="00C23C0E"/>
    <w:rsid w:val="00C2763C"/>
    <w:rsid w:val="00C27AA3"/>
    <w:rsid w:val="00C27F87"/>
    <w:rsid w:val="00C300A0"/>
    <w:rsid w:val="00C304A6"/>
    <w:rsid w:val="00C30B53"/>
    <w:rsid w:val="00C35EFB"/>
    <w:rsid w:val="00C433EB"/>
    <w:rsid w:val="00C43CF5"/>
    <w:rsid w:val="00C43E7E"/>
    <w:rsid w:val="00C43F00"/>
    <w:rsid w:val="00C44252"/>
    <w:rsid w:val="00C44284"/>
    <w:rsid w:val="00C442DB"/>
    <w:rsid w:val="00C44BC2"/>
    <w:rsid w:val="00C4502B"/>
    <w:rsid w:val="00C4514A"/>
    <w:rsid w:val="00C45E9C"/>
    <w:rsid w:val="00C46ABE"/>
    <w:rsid w:val="00C46E31"/>
    <w:rsid w:val="00C46F7F"/>
    <w:rsid w:val="00C5341B"/>
    <w:rsid w:val="00C53DD9"/>
    <w:rsid w:val="00C550D4"/>
    <w:rsid w:val="00C55470"/>
    <w:rsid w:val="00C57F89"/>
    <w:rsid w:val="00C60B9E"/>
    <w:rsid w:val="00C67E8D"/>
    <w:rsid w:val="00C70A88"/>
    <w:rsid w:val="00C7126F"/>
    <w:rsid w:val="00C73731"/>
    <w:rsid w:val="00C74D04"/>
    <w:rsid w:val="00C756F0"/>
    <w:rsid w:val="00C75986"/>
    <w:rsid w:val="00C75A72"/>
    <w:rsid w:val="00C77468"/>
    <w:rsid w:val="00C803EE"/>
    <w:rsid w:val="00C81719"/>
    <w:rsid w:val="00C81E61"/>
    <w:rsid w:val="00C8208E"/>
    <w:rsid w:val="00C83364"/>
    <w:rsid w:val="00C83D0D"/>
    <w:rsid w:val="00C86D01"/>
    <w:rsid w:val="00C8788E"/>
    <w:rsid w:val="00C906B2"/>
    <w:rsid w:val="00C90A40"/>
    <w:rsid w:val="00C92B6A"/>
    <w:rsid w:val="00C9590E"/>
    <w:rsid w:val="00CA6863"/>
    <w:rsid w:val="00CB0C23"/>
    <w:rsid w:val="00CB28C7"/>
    <w:rsid w:val="00CC0ADC"/>
    <w:rsid w:val="00CC2675"/>
    <w:rsid w:val="00CC48D2"/>
    <w:rsid w:val="00CC5417"/>
    <w:rsid w:val="00CC59C7"/>
    <w:rsid w:val="00CC716B"/>
    <w:rsid w:val="00CC7807"/>
    <w:rsid w:val="00CD0948"/>
    <w:rsid w:val="00CD1F7A"/>
    <w:rsid w:val="00CD6066"/>
    <w:rsid w:val="00CD72F2"/>
    <w:rsid w:val="00CD7520"/>
    <w:rsid w:val="00CE168B"/>
    <w:rsid w:val="00CE19AD"/>
    <w:rsid w:val="00CE2475"/>
    <w:rsid w:val="00CE2EDC"/>
    <w:rsid w:val="00CE2F72"/>
    <w:rsid w:val="00CE386A"/>
    <w:rsid w:val="00CE5E4F"/>
    <w:rsid w:val="00CE6AC9"/>
    <w:rsid w:val="00CE7B22"/>
    <w:rsid w:val="00CF17FB"/>
    <w:rsid w:val="00CF2AA9"/>
    <w:rsid w:val="00CF420C"/>
    <w:rsid w:val="00CF505C"/>
    <w:rsid w:val="00CF5656"/>
    <w:rsid w:val="00CF5718"/>
    <w:rsid w:val="00CF5BE7"/>
    <w:rsid w:val="00CF5E9A"/>
    <w:rsid w:val="00CF672B"/>
    <w:rsid w:val="00CF7C13"/>
    <w:rsid w:val="00D03A56"/>
    <w:rsid w:val="00D04A8C"/>
    <w:rsid w:val="00D04C4A"/>
    <w:rsid w:val="00D0570B"/>
    <w:rsid w:val="00D10136"/>
    <w:rsid w:val="00D1021F"/>
    <w:rsid w:val="00D112C9"/>
    <w:rsid w:val="00D12021"/>
    <w:rsid w:val="00D13292"/>
    <w:rsid w:val="00D13F60"/>
    <w:rsid w:val="00D210A5"/>
    <w:rsid w:val="00D245EE"/>
    <w:rsid w:val="00D30535"/>
    <w:rsid w:val="00D30EF0"/>
    <w:rsid w:val="00D3311C"/>
    <w:rsid w:val="00D34FAF"/>
    <w:rsid w:val="00D420A4"/>
    <w:rsid w:val="00D433CF"/>
    <w:rsid w:val="00D43B36"/>
    <w:rsid w:val="00D45A45"/>
    <w:rsid w:val="00D462DF"/>
    <w:rsid w:val="00D53932"/>
    <w:rsid w:val="00D54378"/>
    <w:rsid w:val="00D56474"/>
    <w:rsid w:val="00D60B61"/>
    <w:rsid w:val="00D639C1"/>
    <w:rsid w:val="00D642EF"/>
    <w:rsid w:val="00D64CCF"/>
    <w:rsid w:val="00D64DE2"/>
    <w:rsid w:val="00D666FC"/>
    <w:rsid w:val="00D7153F"/>
    <w:rsid w:val="00D71D36"/>
    <w:rsid w:val="00D74DCC"/>
    <w:rsid w:val="00D82C63"/>
    <w:rsid w:val="00D84A6C"/>
    <w:rsid w:val="00D84B54"/>
    <w:rsid w:val="00D85704"/>
    <w:rsid w:val="00D87D21"/>
    <w:rsid w:val="00D92F08"/>
    <w:rsid w:val="00D93CD8"/>
    <w:rsid w:val="00DA0125"/>
    <w:rsid w:val="00DA19C5"/>
    <w:rsid w:val="00DA435D"/>
    <w:rsid w:val="00DA51AB"/>
    <w:rsid w:val="00DA594B"/>
    <w:rsid w:val="00DB3A18"/>
    <w:rsid w:val="00DB6A2B"/>
    <w:rsid w:val="00DB7178"/>
    <w:rsid w:val="00DC6793"/>
    <w:rsid w:val="00DC6CE9"/>
    <w:rsid w:val="00DD0A88"/>
    <w:rsid w:val="00DD0AD9"/>
    <w:rsid w:val="00DD1064"/>
    <w:rsid w:val="00DD72C8"/>
    <w:rsid w:val="00DE02F5"/>
    <w:rsid w:val="00DE0859"/>
    <w:rsid w:val="00DE093B"/>
    <w:rsid w:val="00DE3366"/>
    <w:rsid w:val="00DE3475"/>
    <w:rsid w:val="00DE772D"/>
    <w:rsid w:val="00DF07DA"/>
    <w:rsid w:val="00DF28DD"/>
    <w:rsid w:val="00DF39D9"/>
    <w:rsid w:val="00DF4763"/>
    <w:rsid w:val="00DF7BE1"/>
    <w:rsid w:val="00E03E69"/>
    <w:rsid w:val="00E041F7"/>
    <w:rsid w:val="00E04730"/>
    <w:rsid w:val="00E04F59"/>
    <w:rsid w:val="00E05DE9"/>
    <w:rsid w:val="00E06129"/>
    <w:rsid w:val="00E10E04"/>
    <w:rsid w:val="00E14163"/>
    <w:rsid w:val="00E1525C"/>
    <w:rsid w:val="00E164D8"/>
    <w:rsid w:val="00E21B2E"/>
    <w:rsid w:val="00E22E8B"/>
    <w:rsid w:val="00E25E93"/>
    <w:rsid w:val="00E26EAD"/>
    <w:rsid w:val="00E27B8E"/>
    <w:rsid w:val="00E36525"/>
    <w:rsid w:val="00E4266E"/>
    <w:rsid w:val="00E43D9D"/>
    <w:rsid w:val="00E5040A"/>
    <w:rsid w:val="00E50E20"/>
    <w:rsid w:val="00E540EE"/>
    <w:rsid w:val="00E555A1"/>
    <w:rsid w:val="00E55FF6"/>
    <w:rsid w:val="00E563EE"/>
    <w:rsid w:val="00E602B7"/>
    <w:rsid w:val="00E60414"/>
    <w:rsid w:val="00E63388"/>
    <w:rsid w:val="00E635E8"/>
    <w:rsid w:val="00E63C72"/>
    <w:rsid w:val="00E66096"/>
    <w:rsid w:val="00E67570"/>
    <w:rsid w:val="00E70B91"/>
    <w:rsid w:val="00E70BBA"/>
    <w:rsid w:val="00E70E24"/>
    <w:rsid w:val="00E7106C"/>
    <w:rsid w:val="00E728A5"/>
    <w:rsid w:val="00E728E2"/>
    <w:rsid w:val="00E732F5"/>
    <w:rsid w:val="00E733DB"/>
    <w:rsid w:val="00E75EF9"/>
    <w:rsid w:val="00E7611C"/>
    <w:rsid w:val="00E76D08"/>
    <w:rsid w:val="00E76EBC"/>
    <w:rsid w:val="00E77B9E"/>
    <w:rsid w:val="00E77E35"/>
    <w:rsid w:val="00E77F23"/>
    <w:rsid w:val="00E84E6D"/>
    <w:rsid w:val="00E852AF"/>
    <w:rsid w:val="00E8647E"/>
    <w:rsid w:val="00E864AD"/>
    <w:rsid w:val="00E86932"/>
    <w:rsid w:val="00E87A99"/>
    <w:rsid w:val="00E87B09"/>
    <w:rsid w:val="00E9072B"/>
    <w:rsid w:val="00E908FD"/>
    <w:rsid w:val="00E91073"/>
    <w:rsid w:val="00E91B47"/>
    <w:rsid w:val="00E96222"/>
    <w:rsid w:val="00EA06A0"/>
    <w:rsid w:val="00EA0EB4"/>
    <w:rsid w:val="00EA17FF"/>
    <w:rsid w:val="00EA7CE3"/>
    <w:rsid w:val="00EB0BFC"/>
    <w:rsid w:val="00EB1437"/>
    <w:rsid w:val="00EB1C9F"/>
    <w:rsid w:val="00EB5F28"/>
    <w:rsid w:val="00EB6014"/>
    <w:rsid w:val="00EB68C9"/>
    <w:rsid w:val="00EB78EE"/>
    <w:rsid w:val="00EC0130"/>
    <w:rsid w:val="00EC22B5"/>
    <w:rsid w:val="00EC28C9"/>
    <w:rsid w:val="00EC3EFB"/>
    <w:rsid w:val="00EC51DC"/>
    <w:rsid w:val="00ED186A"/>
    <w:rsid w:val="00ED2BDA"/>
    <w:rsid w:val="00ED3D1F"/>
    <w:rsid w:val="00ED4E47"/>
    <w:rsid w:val="00ED63CE"/>
    <w:rsid w:val="00ED7650"/>
    <w:rsid w:val="00ED788C"/>
    <w:rsid w:val="00EE0997"/>
    <w:rsid w:val="00EE31C4"/>
    <w:rsid w:val="00EE5543"/>
    <w:rsid w:val="00EE632D"/>
    <w:rsid w:val="00EE7AF7"/>
    <w:rsid w:val="00EF33D1"/>
    <w:rsid w:val="00EF387A"/>
    <w:rsid w:val="00EF7D1B"/>
    <w:rsid w:val="00F006F0"/>
    <w:rsid w:val="00F008B6"/>
    <w:rsid w:val="00F02FE3"/>
    <w:rsid w:val="00F06822"/>
    <w:rsid w:val="00F07B94"/>
    <w:rsid w:val="00F1142D"/>
    <w:rsid w:val="00F14531"/>
    <w:rsid w:val="00F15261"/>
    <w:rsid w:val="00F160D2"/>
    <w:rsid w:val="00F17D3B"/>
    <w:rsid w:val="00F23167"/>
    <w:rsid w:val="00F23A80"/>
    <w:rsid w:val="00F316C3"/>
    <w:rsid w:val="00F35B99"/>
    <w:rsid w:val="00F37220"/>
    <w:rsid w:val="00F40341"/>
    <w:rsid w:val="00F40A9A"/>
    <w:rsid w:val="00F4360F"/>
    <w:rsid w:val="00F454E8"/>
    <w:rsid w:val="00F505E4"/>
    <w:rsid w:val="00F51C41"/>
    <w:rsid w:val="00F520D3"/>
    <w:rsid w:val="00F54B20"/>
    <w:rsid w:val="00F551B5"/>
    <w:rsid w:val="00F55AA1"/>
    <w:rsid w:val="00F5673C"/>
    <w:rsid w:val="00F56B55"/>
    <w:rsid w:val="00F6128A"/>
    <w:rsid w:val="00F61D6F"/>
    <w:rsid w:val="00F62EA8"/>
    <w:rsid w:val="00F63F62"/>
    <w:rsid w:val="00F6521B"/>
    <w:rsid w:val="00F67794"/>
    <w:rsid w:val="00F67865"/>
    <w:rsid w:val="00F70FBA"/>
    <w:rsid w:val="00F71878"/>
    <w:rsid w:val="00F733E9"/>
    <w:rsid w:val="00F73C5A"/>
    <w:rsid w:val="00F744A1"/>
    <w:rsid w:val="00F7549A"/>
    <w:rsid w:val="00F7648E"/>
    <w:rsid w:val="00F77991"/>
    <w:rsid w:val="00F831F6"/>
    <w:rsid w:val="00F84365"/>
    <w:rsid w:val="00F9119A"/>
    <w:rsid w:val="00F93B81"/>
    <w:rsid w:val="00F948A7"/>
    <w:rsid w:val="00F94A5A"/>
    <w:rsid w:val="00F97ADD"/>
    <w:rsid w:val="00FA317C"/>
    <w:rsid w:val="00FA379F"/>
    <w:rsid w:val="00FA5BE5"/>
    <w:rsid w:val="00FA5CCF"/>
    <w:rsid w:val="00FA7A8A"/>
    <w:rsid w:val="00FB0647"/>
    <w:rsid w:val="00FB41EE"/>
    <w:rsid w:val="00FB439F"/>
    <w:rsid w:val="00FB43AA"/>
    <w:rsid w:val="00FB56C7"/>
    <w:rsid w:val="00FB7AC5"/>
    <w:rsid w:val="00FC0AAC"/>
    <w:rsid w:val="00FC0D70"/>
    <w:rsid w:val="00FC16A6"/>
    <w:rsid w:val="00FC1B35"/>
    <w:rsid w:val="00FC2A24"/>
    <w:rsid w:val="00FC3899"/>
    <w:rsid w:val="00FC3F9B"/>
    <w:rsid w:val="00FC51E0"/>
    <w:rsid w:val="00FC549A"/>
    <w:rsid w:val="00FC5E73"/>
    <w:rsid w:val="00FC60ED"/>
    <w:rsid w:val="00FD1508"/>
    <w:rsid w:val="00FD26A0"/>
    <w:rsid w:val="00FD2AF2"/>
    <w:rsid w:val="00FD5535"/>
    <w:rsid w:val="00FD604C"/>
    <w:rsid w:val="00FD65D5"/>
    <w:rsid w:val="00FD690B"/>
    <w:rsid w:val="00FE03DA"/>
    <w:rsid w:val="00FE4A4C"/>
    <w:rsid w:val="00FE5642"/>
    <w:rsid w:val="00FE6E0E"/>
    <w:rsid w:val="00FF088F"/>
    <w:rsid w:val="00FF1260"/>
    <w:rsid w:val="00FF3FEB"/>
    <w:rsid w:val="00FF486C"/>
    <w:rsid w:val="00FF4B39"/>
    <w:rsid w:val="00FF5EB3"/>
    <w:rsid w:val="00FF5F84"/>
    <w:rsid w:val="014100DA"/>
    <w:rsid w:val="017A2DF6"/>
    <w:rsid w:val="019A0772"/>
    <w:rsid w:val="019F6D19"/>
    <w:rsid w:val="01A73D87"/>
    <w:rsid w:val="02012C64"/>
    <w:rsid w:val="02155CC8"/>
    <w:rsid w:val="0231511A"/>
    <w:rsid w:val="02654D3E"/>
    <w:rsid w:val="027073D3"/>
    <w:rsid w:val="027A49A4"/>
    <w:rsid w:val="02887413"/>
    <w:rsid w:val="02C61BE9"/>
    <w:rsid w:val="031F7F62"/>
    <w:rsid w:val="03233FEF"/>
    <w:rsid w:val="032B2692"/>
    <w:rsid w:val="033F0F73"/>
    <w:rsid w:val="03932150"/>
    <w:rsid w:val="03C41EBC"/>
    <w:rsid w:val="03CE1443"/>
    <w:rsid w:val="03DF40CB"/>
    <w:rsid w:val="041C2DFE"/>
    <w:rsid w:val="04293179"/>
    <w:rsid w:val="04A455CC"/>
    <w:rsid w:val="04B12D67"/>
    <w:rsid w:val="04BD4FE9"/>
    <w:rsid w:val="050414F1"/>
    <w:rsid w:val="050B1F2B"/>
    <w:rsid w:val="057070ED"/>
    <w:rsid w:val="0576723F"/>
    <w:rsid w:val="05CC58ED"/>
    <w:rsid w:val="060259E5"/>
    <w:rsid w:val="063C5A1A"/>
    <w:rsid w:val="067A7210"/>
    <w:rsid w:val="06926323"/>
    <w:rsid w:val="06964BD5"/>
    <w:rsid w:val="06D4096D"/>
    <w:rsid w:val="07244CE2"/>
    <w:rsid w:val="073D2BE1"/>
    <w:rsid w:val="074900A9"/>
    <w:rsid w:val="076E1E11"/>
    <w:rsid w:val="0772291B"/>
    <w:rsid w:val="077B0B4F"/>
    <w:rsid w:val="07BA315D"/>
    <w:rsid w:val="07C55987"/>
    <w:rsid w:val="080222D6"/>
    <w:rsid w:val="08116599"/>
    <w:rsid w:val="0814276A"/>
    <w:rsid w:val="08387E2F"/>
    <w:rsid w:val="083B2F7E"/>
    <w:rsid w:val="086311BC"/>
    <w:rsid w:val="090F4A6C"/>
    <w:rsid w:val="09415BCC"/>
    <w:rsid w:val="09435E50"/>
    <w:rsid w:val="095B3F74"/>
    <w:rsid w:val="097258FA"/>
    <w:rsid w:val="09743D7F"/>
    <w:rsid w:val="09946700"/>
    <w:rsid w:val="09AD5A7C"/>
    <w:rsid w:val="09EC23FF"/>
    <w:rsid w:val="0A044101"/>
    <w:rsid w:val="0A360753"/>
    <w:rsid w:val="0A62640E"/>
    <w:rsid w:val="0A6F181E"/>
    <w:rsid w:val="0A7F683B"/>
    <w:rsid w:val="0A8B2E1B"/>
    <w:rsid w:val="0ABB3F15"/>
    <w:rsid w:val="0AF5753C"/>
    <w:rsid w:val="0AFE03EA"/>
    <w:rsid w:val="0B0310F6"/>
    <w:rsid w:val="0B372A66"/>
    <w:rsid w:val="0B8115C2"/>
    <w:rsid w:val="0B8C392D"/>
    <w:rsid w:val="0BF6637A"/>
    <w:rsid w:val="0C6C2349"/>
    <w:rsid w:val="0C7A3371"/>
    <w:rsid w:val="0CAA549B"/>
    <w:rsid w:val="0CB02601"/>
    <w:rsid w:val="0CCA2980"/>
    <w:rsid w:val="0CF2172A"/>
    <w:rsid w:val="0D0C271C"/>
    <w:rsid w:val="0D1224FB"/>
    <w:rsid w:val="0D1565D9"/>
    <w:rsid w:val="0D335C97"/>
    <w:rsid w:val="0D361681"/>
    <w:rsid w:val="0D475B4A"/>
    <w:rsid w:val="0D6478F8"/>
    <w:rsid w:val="0DEE56B0"/>
    <w:rsid w:val="0E046E58"/>
    <w:rsid w:val="0E084221"/>
    <w:rsid w:val="0E0B181B"/>
    <w:rsid w:val="0E3F1ACC"/>
    <w:rsid w:val="0E4A3800"/>
    <w:rsid w:val="0E6A278D"/>
    <w:rsid w:val="0E89775A"/>
    <w:rsid w:val="0E927849"/>
    <w:rsid w:val="0EC0292C"/>
    <w:rsid w:val="0EC25122"/>
    <w:rsid w:val="0EF267AF"/>
    <w:rsid w:val="0F052F6C"/>
    <w:rsid w:val="0F4A504B"/>
    <w:rsid w:val="0F4A6891"/>
    <w:rsid w:val="0F613460"/>
    <w:rsid w:val="0F912D4B"/>
    <w:rsid w:val="0F963146"/>
    <w:rsid w:val="0FCF697B"/>
    <w:rsid w:val="0FDD414B"/>
    <w:rsid w:val="1046331C"/>
    <w:rsid w:val="109B53FF"/>
    <w:rsid w:val="109C3A71"/>
    <w:rsid w:val="10AE7C8F"/>
    <w:rsid w:val="10CC014A"/>
    <w:rsid w:val="10CC48C6"/>
    <w:rsid w:val="11051C26"/>
    <w:rsid w:val="115D02E5"/>
    <w:rsid w:val="117730EB"/>
    <w:rsid w:val="11A76CD1"/>
    <w:rsid w:val="11F81C72"/>
    <w:rsid w:val="12297E8B"/>
    <w:rsid w:val="125701C7"/>
    <w:rsid w:val="130B2D01"/>
    <w:rsid w:val="131B2EB0"/>
    <w:rsid w:val="13525487"/>
    <w:rsid w:val="13C92348"/>
    <w:rsid w:val="13F07810"/>
    <w:rsid w:val="13F20106"/>
    <w:rsid w:val="141548BD"/>
    <w:rsid w:val="141B0D79"/>
    <w:rsid w:val="142864FC"/>
    <w:rsid w:val="143243E7"/>
    <w:rsid w:val="143C6075"/>
    <w:rsid w:val="14571442"/>
    <w:rsid w:val="14654A29"/>
    <w:rsid w:val="147C013D"/>
    <w:rsid w:val="14B71CE6"/>
    <w:rsid w:val="14B81F8C"/>
    <w:rsid w:val="14E03E6F"/>
    <w:rsid w:val="14E23FA3"/>
    <w:rsid w:val="1503565B"/>
    <w:rsid w:val="154C0B76"/>
    <w:rsid w:val="156D52D0"/>
    <w:rsid w:val="15B53995"/>
    <w:rsid w:val="15F379B6"/>
    <w:rsid w:val="160B4588"/>
    <w:rsid w:val="161003F8"/>
    <w:rsid w:val="165E1AF9"/>
    <w:rsid w:val="16761466"/>
    <w:rsid w:val="1679397B"/>
    <w:rsid w:val="168135D8"/>
    <w:rsid w:val="16C40E0C"/>
    <w:rsid w:val="17034910"/>
    <w:rsid w:val="170E0E19"/>
    <w:rsid w:val="17211998"/>
    <w:rsid w:val="177F5112"/>
    <w:rsid w:val="1787132F"/>
    <w:rsid w:val="17984446"/>
    <w:rsid w:val="17984E07"/>
    <w:rsid w:val="17A42813"/>
    <w:rsid w:val="17F06B2A"/>
    <w:rsid w:val="17F90E59"/>
    <w:rsid w:val="18583FC2"/>
    <w:rsid w:val="186E3CA0"/>
    <w:rsid w:val="18832D98"/>
    <w:rsid w:val="188E3A88"/>
    <w:rsid w:val="18B162C4"/>
    <w:rsid w:val="18C56A35"/>
    <w:rsid w:val="18F155B7"/>
    <w:rsid w:val="18F532E5"/>
    <w:rsid w:val="18F541A8"/>
    <w:rsid w:val="18FC49E8"/>
    <w:rsid w:val="190D3379"/>
    <w:rsid w:val="191F598E"/>
    <w:rsid w:val="19A30C86"/>
    <w:rsid w:val="19C75494"/>
    <w:rsid w:val="19ED659F"/>
    <w:rsid w:val="1A4D46A5"/>
    <w:rsid w:val="1A7C079A"/>
    <w:rsid w:val="1A86293E"/>
    <w:rsid w:val="1AD8774D"/>
    <w:rsid w:val="1AFE2A1C"/>
    <w:rsid w:val="1B2B46FD"/>
    <w:rsid w:val="1B411494"/>
    <w:rsid w:val="1B4514BD"/>
    <w:rsid w:val="1B4E5A9C"/>
    <w:rsid w:val="1B697489"/>
    <w:rsid w:val="1B866287"/>
    <w:rsid w:val="1B91454A"/>
    <w:rsid w:val="1BA46BFA"/>
    <w:rsid w:val="1BB456CA"/>
    <w:rsid w:val="1BBE4BBF"/>
    <w:rsid w:val="1C100015"/>
    <w:rsid w:val="1C3C7173"/>
    <w:rsid w:val="1C7703AB"/>
    <w:rsid w:val="1CC2653A"/>
    <w:rsid w:val="1D0E344A"/>
    <w:rsid w:val="1D3B522D"/>
    <w:rsid w:val="1D5429EC"/>
    <w:rsid w:val="1DCD4D52"/>
    <w:rsid w:val="1E732677"/>
    <w:rsid w:val="1ECB794B"/>
    <w:rsid w:val="1EED61CB"/>
    <w:rsid w:val="1EF6401E"/>
    <w:rsid w:val="1F070539"/>
    <w:rsid w:val="1F093D75"/>
    <w:rsid w:val="1F0D6EFE"/>
    <w:rsid w:val="1F0F1E0A"/>
    <w:rsid w:val="1F173D5E"/>
    <w:rsid w:val="1F3D41AB"/>
    <w:rsid w:val="1F3E0D19"/>
    <w:rsid w:val="1F3E1766"/>
    <w:rsid w:val="1F5547FB"/>
    <w:rsid w:val="1F5E5FF8"/>
    <w:rsid w:val="1F970ED3"/>
    <w:rsid w:val="1FB60599"/>
    <w:rsid w:val="1FBB696E"/>
    <w:rsid w:val="1FD64D23"/>
    <w:rsid w:val="1FE02184"/>
    <w:rsid w:val="1FF04934"/>
    <w:rsid w:val="1FFC5589"/>
    <w:rsid w:val="20343B3D"/>
    <w:rsid w:val="203B6A0B"/>
    <w:rsid w:val="20554D5E"/>
    <w:rsid w:val="205A3CFC"/>
    <w:rsid w:val="206025A7"/>
    <w:rsid w:val="20646919"/>
    <w:rsid w:val="206F72EA"/>
    <w:rsid w:val="20C46F55"/>
    <w:rsid w:val="20ED0D46"/>
    <w:rsid w:val="20FC391D"/>
    <w:rsid w:val="210319CF"/>
    <w:rsid w:val="21147C23"/>
    <w:rsid w:val="212C6CD9"/>
    <w:rsid w:val="21542457"/>
    <w:rsid w:val="21D50B04"/>
    <w:rsid w:val="21DF238F"/>
    <w:rsid w:val="22304438"/>
    <w:rsid w:val="22334010"/>
    <w:rsid w:val="22352DAF"/>
    <w:rsid w:val="227B7612"/>
    <w:rsid w:val="2283390C"/>
    <w:rsid w:val="228729D4"/>
    <w:rsid w:val="22914F92"/>
    <w:rsid w:val="229B303C"/>
    <w:rsid w:val="22A6454F"/>
    <w:rsid w:val="22EC3C32"/>
    <w:rsid w:val="22EF3715"/>
    <w:rsid w:val="231C07EE"/>
    <w:rsid w:val="233A2855"/>
    <w:rsid w:val="233C6296"/>
    <w:rsid w:val="237B2077"/>
    <w:rsid w:val="23840F29"/>
    <w:rsid w:val="239749A3"/>
    <w:rsid w:val="239810CE"/>
    <w:rsid w:val="239A1546"/>
    <w:rsid w:val="239E0BB9"/>
    <w:rsid w:val="23A44C61"/>
    <w:rsid w:val="23A742AE"/>
    <w:rsid w:val="23B928E1"/>
    <w:rsid w:val="2407700A"/>
    <w:rsid w:val="242C7476"/>
    <w:rsid w:val="24341FDE"/>
    <w:rsid w:val="246E6F1C"/>
    <w:rsid w:val="24B8103C"/>
    <w:rsid w:val="24BA36FA"/>
    <w:rsid w:val="24C63604"/>
    <w:rsid w:val="24D05015"/>
    <w:rsid w:val="25682B45"/>
    <w:rsid w:val="25A17CC6"/>
    <w:rsid w:val="25EC7470"/>
    <w:rsid w:val="2617647B"/>
    <w:rsid w:val="264173B8"/>
    <w:rsid w:val="26421D34"/>
    <w:rsid w:val="26517134"/>
    <w:rsid w:val="26776AE8"/>
    <w:rsid w:val="26993146"/>
    <w:rsid w:val="26B00092"/>
    <w:rsid w:val="26CA678F"/>
    <w:rsid w:val="26DB0D9B"/>
    <w:rsid w:val="26F069DA"/>
    <w:rsid w:val="2723368B"/>
    <w:rsid w:val="273535C0"/>
    <w:rsid w:val="27BC78BA"/>
    <w:rsid w:val="27BE1040"/>
    <w:rsid w:val="27CA347B"/>
    <w:rsid w:val="27D80F5B"/>
    <w:rsid w:val="27DA6B63"/>
    <w:rsid w:val="280237BD"/>
    <w:rsid w:val="28085EFD"/>
    <w:rsid w:val="28202675"/>
    <w:rsid w:val="282D240E"/>
    <w:rsid w:val="28335AB9"/>
    <w:rsid w:val="286036CB"/>
    <w:rsid w:val="28D12FA6"/>
    <w:rsid w:val="28E51731"/>
    <w:rsid w:val="28EB7DAF"/>
    <w:rsid w:val="2903722A"/>
    <w:rsid w:val="29526899"/>
    <w:rsid w:val="295A4AA7"/>
    <w:rsid w:val="296B03C0"/>
    <w:rsid w:val="298A6D50"/>
    <w:rsid w:val="29966554"/>
    <w:rsid w:val="2998265B"/>
    <w:rsid w:val="29AC6E61"/>
    <w:rsid w:val="29B04149"/>
    <w:rsid w:val="29E26FA3"/>
    <w:rsid w:val="29E82A72"/>
    <w:rsid w:val="29FF03ED"/>
    <w:rsid w:val="2A197A7A"/>
    <w:rsid w:val="2A3632EA"/>
    <w:rsid w:val="2A494F33"/>
    <w:rsid w:val="2A556736"/>
    <w:rsid w:val="2A5C3E82"/>
    <w:rsid w:val="2A6774A0"/>
    <w:rsid w:val="2A7D071D"/>
    <w:rsid w:val="2AEA2303"/>
    <w:rsid w:val="2AF76673"/>
    <w:rsid w:val="2B023957"/>
    <w:rsid w:val="2B023F33"/>
    <w:rsid w:val="2B13660B"/>
    <w:rsid w:val="2B141804"/>
    <w:rsid w:val="2B1E5180"/>
    <w:rsid w:val="2B2E39F2"/>
    <w:rsid w:val="2B313E67"/>
    <w:rsid w:val="2B747B92"/>
    <w:rsid w:val="2B843FC7"/>
    <w:rsid w:val="2B88397C"/>
    <w:rsid w:val="2B95073F"/>
    <w:rsid w:val="2BC378D4"/>
    <w:rsid w:val="2BD9007C"/>
    <w:rsid w:val="2BE62446"/>
    <w:rsid w:val="2BED4310"/>
    <w:rsid w:val="2C0B0B34"/>
    <w:rsid w:val="2C0C4C44"/>
    <w:rsid w:val="2C392AF7"/>
    <w:rsid w:val="2C3957D5"/>
    <w:rsid w:val="2C3A601C"/>
    <w:rsid w:val="2C4800D5"/>
    <w:rsid w:val="2C4D37D6"/>
    <w:rsid w:val="2CAB4195"/>
    <w:rsid w:val="2CBD6F50"/>
    <w:rsid w:val="2D086D2D"/>
    <w:rsid w:val="2D2A1DD2"/>
    <w:rsid w:val="2D430B7C"/>
    <w:rsid w:val="2D453709"/>
    <w:rsid w:val="2D47113E"/>
    <w:rsid w:val="2D485B6F"/>
    <w:rsid w:val="2D513BFB"/>
    <w:rsid w:val="2D5944A8"/>
    <w:rsid w:val="2D7E0264"/>
    <w:rsid w:val="2D905712"/>
    <w:rsid w:val="2DA91038"/>
    <w:rsid w:val="2DDD5669"/>
    <w:rsid w:val="2E5905E0"/>
    <w:rsid w:val="2E66510B"/>
    <w:rsid w:val="2E7352C8"/>
    <w:rsid w:val="2E793D1B"/>
    <w:rsid w:val="2E7C5A4F"/>
    <w:rsid w:val="2E995694"/>
    <w:rsid w:val="2EDC3667"/>
    <w:rsid w:val="2EF064BE"/>
    <w:rsid w:val="2F313E72"/>
    <w:rsid w:val="2F3769F6"/>
    <w:rsid w:val="2F7E75D1"/>
    <w:rsid w:val="2F7F5C55"/>
    <w:rsid w:val="2FE10EE1"/>
    <w:rsid w:val="3032464D"/>
    <w:rsid w:val="3035097E"/>
    <w:rsid w:val="30501DD6"/>
    <w:rsid w:val="30783167"/>
    <w:rsid w:val="30A15299"/>
    <w:rsid w:val="30B448D9"/>
    <w:rsid w:val="30D169B8"/>
    <w:rsid w:val="30E30A3C"/>
    <w:rsid w:val="3147486D"/>
    <w:rsid w:val="31BD4D9E"/>
    <w:rsid w:val="31EA5DB4"/>
    <w:rsid w:val="31F72F61"/>
    <w:rsid w:val="322A6B50"/>
    <w:rsid w:val="32582C13"/>
    <w:rsid w:val="326B10D9"/>
    <w:rsid w:val="326C06C8"/>
    <w:rsid w:val="3270328A"/>
    <w:rsid w:val="3273775B"/>
    <w:rsid w:val="32753F69"/>
    <w:rsid w:val="327934B5"/>
    <w:rsid w:val="32FB750E"/>
    <w:rsid w:val="3310473A"/>
    <w:rsid w:val="33465948"/>
    <w:rsid w:val="33594654"/>
    <w:rsid w:val="337D700C"/>
    <w:rsid w:val="33D26F41"/>
    <w:rsid w:val="33DE4DC9"/>
    <w:rsid w:val="34225A8B"/>
    <w:rsid w:val="34545EB6"/>
    <w:rsid w:val="347E7DAE"/>
    <w:rsid w:val="34EC2547"/>
    <w:rsid w:val="3501791E"/>
    <w:rsid w:val="350A3F32"/>
    <w:rsid w:val="350C155E"/>
    <w:rsid w:val="359304C3"/>
    <w:rsid w:val="35E73237"/>
    <w:rsid w:val="36330493"/>
    <w:rsid w:val="364B639A"/>
    <w:rsid w:val="366A2DFA"/>
    <w:rsid w:val="36A17ACF"/>
    <w:rsid w:val="36A55A29"/>
    <w:rsid w:val="36B45349"/>
    <w:rsid w:val="36C00BDC"/>
    <w:rsid w:val="36CC140A"/>
    <w:rsid w:val="36E0631A"/>
    <w:rsid w:val="3731632D"/>
    <w:rsid w:val="373456B9"/>
    <w:rsid w:val="373B7360"/>
    <w:rsid w:val="374B1570"/>
    <w:rsid w:val="37B82D9A"/>
    <w:rsid w:val="37D60DFF"/>
    <w:rsid w:val="37DE483D"/>
    <w:rsid w:val="380B6117"/>
    <w:rsid w:val="383F71B9"/>
    <w:rsid w:val="3872484A"/>
    <w:rsid w:val="38B81C81"/>
    <w:rsid w:val="38D17F1E"/>
    <w:rsid w:val="38F54996"/>
    <w:rsid w:val="38FF6856"/>
    <w:rsid w:val="398A093C"/>
    <w:rsid w:val="399D60E8"/>
    <w:rsid w:val="39A8590F"/>
    <w:rsid w:val="39B63B73"/>
    <w:rsid w:val="39CC50DB"/>
    <w:rsid w:val="39D0047D"/>
    <w:rsid w:val="39E17626"/>
    <w:rsid w:val="39EC44E1"/>
    <w:rsid w:val="39FB1D91"/>
    <w:rsid w:val="3A0F6AB5"/>
    <w:rsid w:val="3A2A3FDB"/>
    <w:rsid w:val="3A3017CC"/>
    <w:rsid w:val="3A396937"/>
    <w:rsid w:val="3A4B6CBF"/>
    <w:rsid w:val="3A5E0A10"/>
    <w:rsid w:val="3A8D1EA3"/>
    <w:rsid w:val="3A910AC1"/>
    <w:rsid w:val="3A982E5E"/>
    <w:rsid w:val="3A9903EE"/>
    <w:rsid w:val="3AA0727D"/>
    <w:rsid w:val="3AB53859"/>
    <w:rsid w:val="3AF72DAE"/>
    <w:rsid w:val="3B16594A"/>
    <w:rsid w:val="3B356674"/>
    <w:rsid w:val="3B4B1955"/>
    <w:rsid w:val="3B51775D"/>
    <w:rsid w:val="3B927514"/>
    <w:rsid w:val="3B9C27B6"/>
    <w:rsid w:val="3BA4342C"/>
    <w:rsid w:val="3BBD7F42"/>
    <w:rsid w:val="3C6B3FB2"/>
    <w:rsid w:val="3C7A7AFD"/>
    <w:rsid w:val="3C9C38A4"/>
    <w:rsid w:val="3CB2437C"/>
    <w:rsid w:val="3CD0502C"/>
    <w:rsid w:val="3CDB2893"/>
    <w:rsid w:val="3CDE0CFD"/>
    <w:rsid w:val="3D0904C6"/>
    <w:rsid w:val="3D0E1956"/>
    <w:rsid w:val="3D5C27F8"/>
    <w:rsid w:val="3D9D58F8"/>
    <w:rsid w:val="3DA172E7"/>
    <w:rsid w:val="3DB23AF4"/>
    <w:rsid w:val="3E227F77"/>
    <w:rsid w:val="3E2A6985"/>
    <w:rsid w:val="3E35559B"/>
    <w:rsid w:val="3E7433F9"/>
    <w:rsid w:val="3E752253"/>
    <w:rsid w:val="3E8B569B"/>
    <w:rsid w:val="3ECB7DA8"/>
    <w:rsid w:val="3EEC09D6"/>
    <w:rsid w:val="3EF2359C"/>
    <w:rsid w:val="3F0D4E6D"/>
    <w:rsid w:val="3F58484D"/>
    <w:rsid w:val="3F745290"/>
    <w:rsid w:val="3F8E0597"/>
    <w:rsid w:val="3F9168DA"/>
    <w:rsid w:val="3FC7326B"/>
    <w:rsid w:val="3FCA0F2D"/>
    <w:rsid w:val="3FD44BBA"/>
    <w:rsid w:val="3FEB209E"/>
    <w:rsid w:val="40266B34"/>
    <w:rsid w:val="402B6207"/>
    <w:rsid w:val="40736EF7"/>
    <w:rsid w:val="407D7E39"/>
    <w:rsid w:val="40BE0B05"/>
    <w:rsid w:val="41145841"/>
    <w:rsid w:val="416310D0"/>
    <w:rsid w:val="41824A13"/>
    <w:rsid w:val="41A55FDF"/>
    <w:rsid w:val="41D339DA"/>
    <w:rsid w:val="42082B3F"/>
    <w:rsid w:val="42104BEC"/>
    <w:rsid w:val="42180346"/>
    <w:rsid w:val="421F20F0"/>
    <w:rsid w:val="42241E55"/>
    <w:rsid w:val="428B2FDA"/>
    <w:rsid w:val="42B30A8D"/>
    <w:rsid w:val="42B6054B"/>
    <w:rsid w:val="42B84915"/>
    <w:rsid w:val="42CB72C7"/>
    <w:rsid w:val="42CF4B7D"/>
    <w:rsid w:val="42EF665D"/>
    <w:rsid w:val="42FE6736"/>
    <w:rsid w:val="431E0302"/>
    <w:rsid w:val="438155EB"/>
    <w:rsid w:val="43894571"/>
    <w:rsid w:val="438C3798"/>
    <w:rsid w:val="43A526AF"/>
    <w:rsid w:val="43CF0C49"/>
    <w:rsid w:val="43F1132E"/>
    <w:rsid w:val="43F95D1B"/>
    <w:rsid w:val="445642CB"/>
    <w:rsid w:val="449E754C"/>
    <w:rsid w:val="44C1635C"/>
    <w:rsid w:val="44D6178B"/>
    <w:rsid w:val="44ED3E90"/>
    <w:rsid w:val="44FC7777"/>
    <w:rsid w:val="457E052E"/>
    <w:rsid w:val="45C11129"/>
    <w:rsid w:val="45C16154"/>
    <w:rsid w:val="45D333F3"/>
    <w:rsid w:val="45EE226A"/>
    <w:rsid w:val="45F013FE"/>
    <w:rsid w:val="46016457"/>
    <w:rsid w:val="46042570"/>
    <w:rsid w:val="460F66E8"/>
    <w:rsid w:val="4670270E"/>
    <w:rsid w:val="46C47C7A"/>
    <w:rsid w:val="46CE6F6E"/>
    <w:rsid w:val="46D0444B"/>
    <w:rsid w:val="46F174E5"/>
    <w:rsid w:val="46F94A26"/>
    <w:rsid w:val="472359F9"/>
    <w:rsid w:val="472C5341"/>
    <w:rsid w:val="47700A76"/>
    <w:rsid w:val="47C2242A"/>
    <w:rsid w:val="47C62C5E"/>
    <w:rsid w:val="47E2786A"/>
    <w:rsid w:val="47E6291B"/>
    <w:rsid w:val="48143CA5"/>
    <w:rsid w:val="482D7D2F"/>
    <w:rsid w:val="48316E4A"/>
    <w:rsid w:val="485E40A4"/>
    <w:rsid w:val="488863C6"/>
    <w:rsid w:val="489C1688"/>
    <w:rsid w:val="48C75E67"/>
    <w:rsid w:val="4910562E"/>
    <w:rsid w:val="495534FC"/>
    <w:rsid w:val="49711854"/>
    <w:rsid w:val="499565EB"/>
    <w:rsid w:val="49C24FFB"/>
    <w:rsid w:val="49C60421"/>
    <w:rsid w:val="49E85284"/>
    <w:rsid w:val="4A632962"/>
    <w:rsid w:val="4A75517D"/>
    <w:rsid w:val="4A993FEF"/>
    <w:rsid w:val="4A9F5775"/>
    <w:rsid w:val="4AA019AF"/>
    <w:rsid w:val="4B234337"/>
    <w:rsid w:val="4B402D4F"/>
    <w:rsid w:val="4B93440D"/>
    <w:rsid w:val="4BE84A7A"/>
    <w:rsid w:val="4BF422FC"/>
    <w:rsid w:val="4C0035F1"/>
    <w:rsid w:val="4C677180"/>
    <w:rsid w:val="4C6A1A0A"/>
    <w:rsid w:val="4CA95F19"/>
    <w:rsid w:val="4CC172CB"/>
    <w:rsid w:val="4CDC3678"/>
    <w:rsid w:val="4CF015C2"/>
    <w:rsid w:val="4D0F0060"/>
    <w:rsid w:val="4D4225BA"/>
    <w:rsid w:val="4D4E33F0"/>
    <w:rsid w:val="4D5F5806"/>
    <w:rsid w:val="4DE024E9"/>
    <w:rsid w:val="4E007AFC"/>
    <w:rsid w:val="4E2419D6"/>
    <w:rsid w:val="4E361272"/>
    <w:rsid w:val="4E3B13B2"/>
    <w:rsid w:val="4E5636E1"/>
    <w:rsid w:val="4ED87E2C"/>
    <w:rsid w:val="4F037993"/>
    <w:rsid w:val="4F046CCC"/>
    <w:rsid w:val="4F1F40D6"/>
    <w:rsid w:val="4F8E4D32"/>
    <w:rsid w:val="4FB371C4"/>
    <w:rsid w:val="4FB37368"/>
    <w:rsid w:val="4FC275AB"/>
    <w:rsid w:val="4FDC73FB"/>
    <w:rsid w:val="50165969"/>
    <w:rsid w:val="5021421C"/>
    <w:rsid w:val="506D232F"/>
    <w:rsid w:val="507D1B45"/>
    <w:rsid w:val="50FD2838"/>
    <w:rsid w:val="51432821"/>
    <w:rsid w:val="516C00A4"/>
    <w:rsid w:val="51A33DCA"/>
    <w:rsid w:val="51BB57DA"/>
    <w:rsid w:val="51BF27E6"/>
    <w:rsid w:val="51F774AB"/>
    <w:rsid w:val="52032622"/>
    <w:rsid w:val="52312E93"/>
    <w:rsid w:val="523646D4"/>
    <w:rsid w:val="5272270C"/>
    <w:rsid w:val="527652A0"/>
    <w:rsid w:val="527D573E"/>
    <w:rsid w:val="52B77C06"/>
    <w:rsid w:val="530D49F3"/>
    <w:rsid w:val="532D0BDC"/>
    <w:rsid w:val="532F34D3"/>
    <w:rsid w:val="538B3923"/>
    <w:rsid w:val="539A2CFB"/>
    <w:rsid w:val="53DA4EEF"/>
    <w:rsid w:val="53FE71D1"/>
    <w:rsid w:val="54360C0B"/>
    <w:rsid w:val="549111E2"/>
    <w:rsid w:val="54B03D8D"/>
    <w:rsid w:val="54B21261"/>
    <w:rsid w:val="54BF01FD"/>
    <w:rsid w:val="54E33229"/>
    <w:rsid w:val="55200F90"/>
    <w:rsid w:val="55253275"/>
    <w:rsid w:val="5554794F"/>
    <w:rsid w:val="5573300A"/>
    <w:rsid w:val="55D401BB"/>
    <w:rsid w:val="55ED74AB"/>
    <w:rsid w:val="55F82164"/>
    <w:rsid w:val="55FF142D"/>
    <w:rsid w:val="56091A90"/>
    <w:rsid w:val="562A2FAB"/>
    <w:rsid w:val="568229C4"/>
    <w:rsid w:val="56B07A75"/>
    <w:rsid w:val="56F725FD"/>
    <w:rsid w:val="56FF04B7"/>
    <w:rsid w:val="571C35BA"/>
    <w:rsid w:val="5740249D"/>
    <w:rsid w:val="57604730"/>
    <w:rsid w:val="57866721"/>
    <w:rsid w:val="579413FA"/>
    <w:rsid w:val="57963673"/>
    <w:rsid w:val="57AD4F98"/>
    <w:rsid w:val="57B41DBB"/>
    <w:rsid w:val="57B638CA"/>
    <w:rsid w:val="57C95FDC"/>
    <w:rsid w:val="57EE23C0"/>
    <w:rsid w:val="58103F6C"/>
    <w:rsid w:val="582B1AF5"/>
    <w:rsid w:val="585B1881"/>
    <w:rsid w:val="5875488B"/>
    <w:rsid w:val="58C2702E"/>
    <w:rsid w:val="58D15AFD"/>
    <w:rsid w:val="58D54CFF"/>
    <w:rsid w:val="58DA0239"/>
    <w:rsid w:val="58DF643C"/>
    <w:rsid w:val="58E623EF"/>
    <w:rsid w:val="58EE3034"/>
    <w:rsid w:val="59031CEB"/>
    <w:rsid w:val="590D7AE9"/>
    <w:rsid w:val="595122D2"/>
    <w:rsid w:val="5969510F"/>
    <w:rsid w:val="596B77B0"/>
    <w:rsid w:val="59712385"/>
    <w:rsid w:val="59752E68"/>
    <w:rsid w:val="59833117"/>
    <w:rsid w:val="59ED6A86"/>
    <w:rsid w:val="59F91072"/>
    <w:rsid w:val="5A0A48EF"/>
    <w:rsid w:val="5A3768C2"/>
    <w:rsid w:val="5A5178B2"/>
    <w:rsid w:val="5A6007BB"/>
    <w:rsid w:val="5A911E04"/>
    <w:rsid w:val="5A93784F"/>
    <w:rsid w:val="5AD20459"/>
    <w:rsid w:val="5AF25B18"/>
    <w:rsid w:val="5B0E1A93"/>
    <w:rsid w:val="5B360761"/>
    <w:rsid w:val="5B966CB0"/>
    <w:rsid w:val="5B9C3750"/>
    <w:rsid w:val="5BAC0D1A"/>
    <w:rsid w:val="5BF021C1"/>
    <w:rsid w:val="5C12756B"/>
    <w:rsid w:val="5C1A5808"/>
    <w:rsid w:val="5C684337"/>
    <w:rsid w:val="5C6B7678"/>
    <w:rsid w:val="5C7452E3"/>
    <w:rsid w:val="5C745668"/>
    <w:rsid w:val="5C965E24"/>
    <w:rsid w:val="5CB22ABA"/>
    <w:rsid w:val="5CC6084B"/>
    <w:rsid w:val="5CCC4CBC"/>
    <w:rsid w:val="5D081CF6"/>
    <w:rsid w:val="5D24577B"/>
    <w:rsid w:val="5D79668A"/>
    <w:rsid w:val="5DD1158C"/>
    <w:rsid w:val="5E0D0F5F"/>
    <w:rsid w:val="5E4915C3"/>
    <w:rsid w:val="5E5D41E0"/>
    <w:rsid w:val="5E6448E9"/>
    <w:rsid w:val="5E773017"/>
    <w:rsid w:val="5EE63E42"/>
    <w:rsid w:val="5EEE1CC2"/>
    <w:rsid w:val="5EF52A66"/>
    <w:rsid w:val="5F091F73"/>
    <w:rsid w:val="5F1619C9"/>
    <w:rsid w:val="5F1A6ABC"/>
    <w:rsid w:val="5F263AF3"/>
    <w:rsid w:val="5F264A3C"/>
    <w:rsid w:val="5F44486F"/>
    <w:rsid w:val="5F504E61"/>
    <w:rsid w:val="5F555A5F"/>
    <w:rsid w:val="5F747E8A"/>
    <w:rsid w:val="5F7A4BB3"/>
    <w:rsid w:val="5F946D3A"/>
    <w:rsid w:val="5FAD4B10"/>
    <w:rsid w:val="5FCB52DE"/>
    <w:rsid w:val="5FEE4F4B"/>
    <w:rsid w:val="602B42AE"/>
    <w:rsid w:val="603E43EF"/>
    <w:rsid w:val="606049A2"/>
    <w:rsid w:val="6074652B"/>
    <w:rsid w:val="6082700E"/>
    <w:rsid w:val="60882EBB"/>
    <w:rsid w:val="609B0D62"/>
    <w:rsid w:val="60AA3E6F"/>
    <w:rsid w:val="60B2512F"/>
    <w:rsid w:val="61020502"/>
    <w:rsid w:val="610560C2"/>
    <w:rsid w:val="61295AA8"/>
    <w:rsid w:val="613227AA"/>
    <w:rsid w:val="61473ED3"/>
    <w:rsid w:val="6158677F"/>
    <w:rsid w:val="61656A7E"/>
    <w:rsid w:val="616E0726"/>
    <w:rsid w:val="61954E7D"/>
    <w:rsid w:val="61AC2C63"/>
    <w:rsid w:val="62007938"/>
    <w:rsid w:val="620E0D15"/>
    <w:rsid w:val="621722F5"/>
    <w:rsid w:val="622B7672"/>
    <w:rsid w:val="623A0E73"/>
    <w:rsid w:val="625946F5"/>
    <w:rsid w:val="625C5F33"/>
    <w:rsid w:val="626A38DC"/>
    <w:rsid w:val="627A007D"/>
    <w:rsid w:val="62A6730C"/>
    <w:rsid w:val="62AB757B"/>
    <w:rsid w:val="62BD47A8"/>
    <w:rsid w:val="62E657E8"/>
    <w:rsid w:val="62FA6EF8"/>
    <w:rsid w:val="63017B46"/>
    <w:rsid w:val="63097F36"/>
    <w:rsid w:val="63A027C7"/>
    <w:rsid w:val="63D34084"/>
    <w:rsid w:val="63E4683D"/>
    <w:rsid w:val="64014ECB"/>
    <w:rsid w:val="641A5713"/>
    <w:rsid w:val="641F7CC9"/>
    <w:rsid w:val="64827CD8"/>
    <w:rsid w:val="64902D88"/>
    <w:rsid w:val="64BA1641"/>
    <w:rsid w:val="64C82027"/>
    <w:rsid w:val="64D25ACF"/>
    <w:rsid w:val="64E81748"/>
    <w:rsid w:val="657603DF"/>
    <w:rsid w:val="65985DAA"/>
    <w:rsid w:val="65AF3D00"/>
    <w:rsid w:val="65B26614"/>
    <w:rsid w:val="65BA5ADF"/>
    <w:rsid w:val="65D17686"/>
    <w:rsid w:val="65DC4A1C"/>
    <w:rsid w:val="65F047B5"/>
    <w:rsid w:val="65F55292"/>
    <w:rsid w:val="660E0F6F"/>
    <w:rsid w:val="662C6EB7"/>
    <w:rsid w:val="6635628C"/>
    <w:rsid w:val="664E301C"/>
    <w:rsid w:val="66506DAE"/>
    <w:rsid w:val="66634583"/>
    <w:rsid w:val="66751CDB"/>
    <w:rsid w:val="669741A3"/>
    <w:rsid w:val="66B66970"/>
    <w:rsid w:val="66F3724E"/>
    <w:rsid w:val="66F67750"/>
    <w:rsid w:val="67023376"/>
    <w:rsid w:val="672B6396"/>
    <w:rsid w:val="674F7C54"/>
    <w:rsid w:val="67835543"/>
    <w:rsid w:val="67911A1C"/>
    <w:rsid w:val="6791707B"/>
    <w:rsid w:val="67976CB1"/>
    <w:rsid w:val="67C63408"/>
    <w:rsid w:val="68093C9A"/>
    <w:rsid w:val="683A3FD7"/>
    <w:rsid w:val="684F4FD3"/>
    <w:rsid w:val="687B5766"/>
    <w:rsid w:val="687C22A7"/>
    <w:rsid w:val="68833E6C"/>
    <w:rsid w:val="68983A45"/>
    <w:rsid w:val="68BB1C3A"/>
    <w:rsid w:val="68E34621"/>
    <w:rsid w:val="69071C1D"/>
    <w:rsid w:val="690773A2"/>
    <w:rsid w:val="69205F82"/>
    <w:rsid w:val="69217675"/>
    <w:rsid w:val="692D3EC2"/>
    <w:rsid w:val="694050FD"/>
    <w:rsid w:val="69632921"/>
    <w:rsid w:val="699833FF"/>
    <w:rsid w:val="6A11690C"/>
    <w:rsid w:val="6A16625B"/>
    <w:rsid w:val="6A2D338A"/>
    <w:rsid w:val="6A4975B9"/>
    <w:rsid w:val="6A4B5231"/>
    <w:rsid w:val="6A5E6E04"/>
    <w:rsid w:val="6A69354B"/>
    <w:rsid w:val="6A6F734D"/>
    <w:rsid w:val="6A9F07CB"/>
    <w:rsid w:val="6AAA758B"/>
    <w:rsid w:val="6AB77196"/>
    <w:rsid w:val="6AC42684"/>
    <w:rsid w:val="6ACB09AE"/>
    <w:rsid w:val="6AD95BB5"/>
    <w:rsid w:val="6B100DD2"/>
    <w:rsid w:val="6B176F9E"/>
    <w:rsid w:val="6B7B2AA5"/>
    <w:rsid w:val="6B7B7575"/>
    <w:rsid w:val="6B83414A"/>
    <w:rsid w:val="6B850C08"/>
    <w:rsid w:val="6B8C3FF7"/>
    <w:rsid w:val="6B8F553F"/>
    <w:rsid w:val="6B99520C"/>
    <w:rsid w:val="6BA519FE"/>
    <w:rsid w:val="6BB80419"/>
    <w:rsid w:val="6BDD4AFF"/>
    <w:rsid w:val="6C1A6B08"/>
    <w:rsid w:val="6C285F67"/>
    <w:rsid w:val="6C504A3A"/>
    <w:rsid w:val="6C5305CB"/>
    <w:rsid w:val="6C6068DE"/>
    <w:rsid w:val="6C816B77"/>
    <w:rsid w:val="6C9E5492"/>
    <w:rsid w:val="6CA42495"/>
    <w:rsid w:val="6CC4537A"/>
    <w:rsid w:val="6CE07F05"/>
    <w:rsid w:val="6D060C62"/>
    <w:rsid w:val="6D6467DB"/>
    <w:rsid w:val="6D7D48C1"/>
    <w:rsid w:val="6D7E0B5E"/>
    <w:rsid w:val="6D9621D3"/>
    <w:rsid w:val="6DA56695"/>
    <w:rsid w:val="6E022814"/>
    <w:rsid w:val="6E8E0D6C"/>
    <w:rsid w:val="6EF801FE"/>
    <w:rsid w:val="6F18138E"/>
    <w:rsid w:val="6F3760A6"/>
    <w:rsid w:val="6F481544"/>
    <w:rsid w:val="6F6B2B81"/>
    <w:rsid w:val="6F71559A"/>
    <w:rsid w:val="6F8035D2"/>
    <w:rsid w:val="6F882388"/>
    <w:rsid w:val="6F8F6092"/>
    <w:rsid w:val="6FA95BBC"/>
    <w:rsid w:val="6FB05554"/>
    <w:rsid w:val="6FF678BC"/>
    <w:rsid w:val="700B5AE1"/>
    <w:rsid w:val="70632747"/>
    <w:rsid w:val="70677DEE"/>
    <w:rsid w:val="707E1787"/>
    <w:rsid w:val="70A457DF"/>
    <w:rsid w:val="70AC1239"/>
    <w:rsid w:val="70B01514"/>
    <w:rsid w:val="70D953C2"/>
    <w:rsid w:val="70E13811"/>
    <w:rsid w:val="70EE7982"/>
    <w:rsid w:val="7106677A"/>
    <w:rsid w:val="71210D91"/>
    <w:rsid w:val="71262241"/>
    <w:rsid w:val="71A340CC"/>
    <w:rsid w:val="71A54321"/>
    <w:rsid w:val="71B019C8"/>
    <w:rsid w:val="71F46F44"/>
    <w:rsid w:val="72013C3E"/>
    <w:rsid w:val="72372B0E"/>
    <w:rsid w:val="72694C95"/>
    <w:rsid w:val="726E298D"/>
    <w:rsid w:val="727619EB"/>
    <w:rsid w:val="72802A0F"/>
    <w:rsid w:val="728D263E"/>
    <w:rsid w:val="72966311"/>
    <w:rsid w:val="72A11BA4"/>
    <w:rsid w:val="731A2270"/>
    <w:rsid w:val="73286FE6"/>
    <w:rsid w:val="737838E9"/>
    <w:rsid w:val="7393631E"/>
    <w:rsid w:val="739D4D93"/>
    <w:rsid w:val="73A70662"/>
    <w:rsid w:val="73F70B86"/>
    <w:rsid w:val="73FA3A46"/>
    <w:rsid w:val="743201D2"/>
    <w:rsid w:val="74690842"/>
    <w:rsid w:val="747A3654"/>
    <w:rsid w:val="747E329E"/>
    <w:rsid w:val="74EB588B"/>
    <w:rsid w:val="74F61AD7"/>
    <w:rsid w:val="75070A50"/>
    <w:rsid w:val="75093A64"/>
    <w:rsid w:val="75201E08"/>
    <w:rsid w:val="75236ADD"/>
    <w:rsid w:val="754964F5"/>
    <w:rsid w:val="758A4106"/>
    <w:rsid w:val="75910CFD"/>
    <w:rsid w:val="75BC21F6"/>
    <w:rsid w:val="75BE338C"/>
    <w:rsid w:val="75BE6DCA"/>
    <w:rsid w:val="75F0779F"/>
    <w:rsid w:val="75FD1E1D"/>
    <w:rsid w:val="76255382"/>
    <w:rsid w:val="76652554"/>
    <w:rsid w:val="76D955F7"/>
    <w:rsid w:val="770858DF"/>
    <w:rsid w:val="770B7BC0"/>
    <w:rsid w:val="771515C8"/>
    <w:rsid w:val="772C5A7C"/>
    <w:rsid w:val="77304C77"/>
    <w:rsid w:val="774B7D02"/>
    <w:rsid w:val="7764126D"/>
    <w:rsid w:val="776C48BF"/>
    <w:rsid w:val="77716C78"/>
    <w:rsid w:val="779173BE"/>
    <w:rsid w:val="779B78ED"/>
    <w:rsid w:val="77D12130"/>
    <w:rsid w:val="77F10AC4"/>
    <w:rsid w:val="781F739E"/>
    <w:rsid w:val="782C38A5"/>
    <w:rsid w:val="785C0D38"/>
    <w:rsid w:val="78885DF7"/>
    <w:rsid w:val="78C67AE9"/>
    <w:rsid w:val="78CF423E"/>
    <w:rsid w:val="78EA52F9"/>
    <w:rsid w:val="792861AD"/>
    <w:rsid w:val="796721E3"/>
    <w:rsid w:val="79C453B0"/>
    <w:rsid w:val="7A376EC0"/>
    <w:rsid w:val="7A4C6F3B"/>
    <w:rsid w:val="7A6C476C"/>
    <w:rsid w:val="7A823E21"/>
    <w:rsid w:val="7A9E210E"/>
    <w:rsid w:val="7AC726FE"/>
    <w:rsid w:val="7AFF0CA0"/>
    <w:rsid w:val="7B0F5781"/>
    <w:rsid w:val="7B1B2898"/>
    <w:rsid w:val="7B20112A"/>
    <w:rsid w:val="7B2A0730"/>
    <w:rsid w:val="7B4C593A"/>
    <w:rsid w:val="7B5F11FC"/>
    <w:rsid w:val="7B6C4B92"/>
    <w:rsid w:val="7B896622"/>
    <w:rsid w:val="7BC42B3D"/>
    <w:rsid w:val="7BE5609F"/>
    <w:rsid w:val="7C393BAF"/>
    <w:rsid w:val="7C3F39DF"/>
    <w:rsid w:val="7C7900A3"/>
    <w:rsid w:val="7C8C36C8"/>
    <w:rsid w:val="7C9B4ACF"/>
    <w:rsid w:val="7DA014C0"/>
    <w:rsid w:val="7E1D7A71"/>
    <w:rsid w:val="7E2176CD"/>
    <w:rsid w:val="7E276AFC"/>
    <w:rsid w:val="7E3B0EF3"/>
    <w:rsid w:val="7E6753B4"/>
    <w:rsid w:val="7E712DAE"/>
    <w:rsid w:val="7E9F19F4"/>
    <w:rsid w:val="7EAD6474"/>
    <w:rsid w:val="7F0549CA"/>
    <w:rsid w:val="7F140065"/>
    <w:rsid w:val="7F1A2F22"/>
    <w:rsid w:val="7F3040E9"/>
    <w:rsid w:val="7FB97696"/>
    <w:rsid w:val="7FC04646"/>
    <w:rsid w:val="7FD33D52"/>
    <w:rsid w:val="7FFA0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ind w:firstLine="200" w:firstLineChars="200"/>
      <w:jc w:val="both"/>
    </w:pPr>
    <w:rPr>
      <w:rFonts w:ascii="Times New Roman" w:hAnsi="Times New Roman" w:eastAsia="宋体" w:cs="Times New Roman"/>
      <w:sz w:val="24"/>
      <w:szCs w:val="22"/>
      <w:lang w:val="en-US" w:eastAsia="en-US" w:bidi="ar-SA"/>
    </w:rPr>
  </w:style>
  <w:style w:type="paragraph" w:styleId="2">
    <w:name w:val="heading 1"/>
    <w:basedOn w:val="1"/>
    <w:next w:val="1"/>
    <w:link w:val="35"/>
    <w:autoRedefine/>
    <w:qFormat/>
    <w:uiPriority w:val="0"/>
    <w:pPr>
      <w:numPr>
        <w:ilvl w:val="0"/>
        <w:numId w:val="1"/>
      </w:numPr>
      <w:snapToGrid w:val="0"/>
      <w:spacing w:before="50" w:beforeLines="50" w:after="50" w:afterLines="50" w:line="440" w:lineRule="exact"/>
      <w:ind w:firstLineChars="0"/>
      <w:outlineLvl w:val="0"/>
    </w:pPr>
    <w:rPr>
      <w:rFonts w:ascii="Times New Roman" w:hAnsi="Times New Roman" w:eastAsia="黑体"/>
      <w:sz w:val="32"/>
      <w:szCs w:val="28"/>
    </w:rPr>
  </w:style>
  <w:style w:type="paragraph" w:styleId="3">
    <w:name w:val="heading 2"/>
    <w:basedOn w:val="1"/>
    <w:next w:val="1"/>
    <w:link w:val="36"/>
    <w:autoRedefine/>
    <w:qFormat/>
    <w:uiPriority w:val="0"/>
    <w:pPr>
      <w:keepNext/>
      <w:keepLines/>
      <w:numPr>
        <w:ilvl w:val="1"/>
        <w:numId w:val="1"/>
      </w:numPr>
      <w:snapToGrid w:val="0"/>
      <w:spacing w:before="50" w:beforeLines="50" w:after="50" w:afterLines="50" w:line="440" w:lineRule="exact"/>
      <w:ind w:left="0" w:firstLineChars="0"/>
      <w:outlineLvl w:val="1"/>
    </w:pPr>
    <w:rPr>
      <w:rFonts w:ascii="Times New Roman" w:hAnsi="Times New Roman" w:eastAsia="黑体"/>
      <w:sz w:val="30"/>
      <w:szCs w:val="32"/>
      <w:lang w:eastAsia="zh-CN"/>
    </w:rPr>
  </w:style>
  <w:style w:type="paragraph" w:styleId="4">
    <w:name w:val="heading 3"/>
    <w:basedOn w:val="1"/>
    <w:next w:val="1"/>
    <w:autoRedefine/>
    <w:qFormat/>
    <w:uiPriority w:val="0"/>
    <w:pPr>
      <w:numPr>
        <w:ilvl w:val="2"/>
        <w:numId w:val="1"/>
      </w:numPr>
      <w:tabs>
        <w:tab w:val="left" w:pos="440"/>
      </w:tabs>
      <w:snapToGrid w:val="0"/>
      <w:spacing w:before="50" w:beforeLines="50" w:after="50" w:afterLines="50" w:line="440" w:lineRule="exact"/>
      <w:ind w:firstLineChars="0"/>
      <w:outlineLvl w:val="2"/>
    </w:pPr>
    <w:rPr>
      <w:rFonts w:ascii="Times New Roman" w:hAnsi="Times New Roman" w:eastAsia="宋体"/>
      <w:sz w:val="28"/>
      <w:szCs w:val="24"/>
      <w:lang w:eastAsia="zh-CN"/>
    </w:rPr>
  </w:style>
  <w:style w:type="paragraph" w:styleId="5">
    <w:name w:val="heading 4"/>
    <w:basedOn w:val="1"/>
    <w:next w:val="1"/>
    <w:link w:val="37"/>
    <w:autoRedefine/>
    <w:qFormat/>
    <w:uiPriority w:val="0"/>
    <w:pPr>
      <w:keepNext/>
      <w:keepLines/>
      <w:spacing w:before="50" w:beforeLines="50" w:after="50" w:afterLines="50" w:line="240" w:lineRule="auto"/>
      <w:ind w:firstLine="0" w:firstLineChars="0"/>
      <w:outlineLvl w:val="3"/>
    </w:pPr>
    <w:rPr>
      <w:bCs/>
      <w:szCs w:val="28"/>
    </w:rPr>
  </w:style>
  <w:style w:type="character" w:default="1" w:styleId="29">
    <w:name w:val="Default Paragraph Font"/>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320"/>
    </w:pPr>
    <w:rPr>
      <w:rFonts w:ascii="Calibri" w:hAnsi="Calibri" w:cs="Calibri"/>
      <w:sz w:val="18"/>
      <w:szCs w:val="18"/>
    </w:rPr>
  </w:style>
  <w:style w:type="paragraph" w:styleId="7">
    <w:name w:val="Normal Indent"/>
    <w:basedOn w:val="1"/>
    <w:qFormat/>
    <w:uiPriority w:val="0"/>
    <w:pPr>
      <w:ind w:firstLine="420"/>
    </w:pPr>
    <w:rPr>
      <w:rFonts w:ascii="宋体" w:hAnsi="宋体" w:cs="宋体"/>
      <w:bCs/>
      <w:color w:val="000000"/>
      <w:kern w:val="2"/>
      <w:sz w:val="21"/>
      <w:szCs w:val="21"/>
      <w:lang w:eastAsia="zh-CN"/>
    </w:rPr>
  </w:style>
  <w:style w:type="paragraph" w:styleId="8">
    <w:name w:val="caption"/>
    <w:basedOn w:val="1"/>
    <w:next w:val="1"/>
    <w:autoRedefine/>
    <w:qFormat/>
    <w:uiPriority w:val="0"/>
    <w:pPr>
      <w:numPr>
        <w:ilvl w:val="3"/>
        <w:numId w:val="1"/>
      </w:numPr>
      <w:spacing w:line="240" w:lineRule="exact"/>
      <w:ind w:left="0" w:firstLineChars="0"/>
      <w:jc w:val="center"/>
    </w:pPr>
    <w:rPr>
      <w:rFonts w:eastAsia="黑体" w:cs="等线 Light"/>
      <w:kern w:val="2"/>
      <w:sz w:val="21"/>
      <w:szCs w:val="21"/>
      <w:lang w:eastAsia="zh-CN"/>
    </w:rPr>
  </w:style>
  <w:style w:type="paragraph" w:styleId="9">
    <w:name w:val="Document Map"/>
    <w:basedOn w:val="1"/>
    <w:autoRedefine/>
    <w:semiHidden/>
    <w:qFormat/>
    <w:uiPriority w:val="0"/>
    <w:pPr>
      <w:shd w:val="clear" w:color="auto" w:fill="000080"/>
    </w:pPr>
  </w:style>
  <w:style w:type="paragraph" w:styleId="10">
    <w:name w:val="annotation text"/>
    <w:basedOn w:val="1"/>
    <w:link w:val="59"/>
    <w:qFormat/>
    <w:uiPriority w:val="0"/>
  </w:style>
  <w:style w:type="paragraph" w:styleId="11">
    <w:name w:val="Body Text"/>
    <w:basedOn w:val="1"/>
    <w:link w:val="67"/>
    <w:qFormat/>
    <w:uiPriority w:val="0"/>
    <w:pPr>
      <w:ind w:left="117"/>
    </w:pPr>
    <w:rPr>
      <w:rFonts w:ascii="宋体" w:hAnsi="宋体"/>
      <w:sz w:val="21"/>
      <w:szCs w:val="21"/>
    </w:rPr>
  </w:style>
  <w:style w:type="paragraph" w:styleId="12">
    <w:name w:val="toc 5"/>
    <w:basedOn w:val="1"/>
    <w:next w:val="1"/>
    <w:autoRedefine/>
    <w:unhideWhenUsed/>
    <w:qFormat/>
    <w:uiPriority w:val="39"/>
    <w:pPr>
      <w:ind w:left="880"/>
    </w:pPr>
    <w:rPr>
      <w:rFonts w:ascii="Calibri" w:hAnsi="Calibri" w:cs="Calibri"/>
      <w:sz w:val="18"/>
      <w:szCs w:val="18"/>
    </w:rPr>
  </w:style>
  <w:style w:type="paragraph" w:styleId="13">
    <w:name w:val="toc 3"/>
    <w:basedOn w:val="1"/>
    <w:next w:val="1"/>
    <w:autoRedefine/>
    <w:unhideWhenUsed/>
    <w:qFormat/>
    <w:uiPriority w:val="39"/>
    <w:pPr>
      <w:ind w:left="440"/>
    </w:pPr>
    <w:rPr>
      <w:rFonts w:ascii="Calibri" w:hAnsi="Calibri" w:cs="Calibri"/>
      <w:i/>
      <w:iCs/>
      <w:sz w:val="20"/>
      <w:szCs w:val="20"/>
    </w:rPr>
  </w:style>
  <w:style w:type="paragraph" w:styleId="14">
    <w:name w:val="toc 8"/>
    <w:basedOn w:val="1"/>
    <w:next w:val="1"/>
    <w:autoRedefine/>
    <w:unhideWhenUsed/>
    <w:qFormat/>
    <w:uiPriority w:val="39"/>
    <w:pPr>
      <w:ind w:left="1540"/>
    </w:pPr>
    <w:rPr>
      <w:rFonts w:ascii="Calibri" w:hAnsi="Calibri" w:cs="Calibri"/>
      <w:sz w:val="18"/>
      <w:szCs w:val="18"/>
    </w:rPr>
  </w:style>
  <w:style w:type="paragraph" w:styleId="15">
    <w:name w:val="Date"/>
    <w:basedOn w:val="1"/>
    <w:next w:val="1"/>
    <w:link w:val="69"/>
    <w:qFormat/>
    <w:uiPriority w:val="0"/>
    <w:pPr>
      <w:ind w:left="100" w:leftChars="2500"/>
    </w:pPr>
  </w:style>
  <w:style w:type="paragraph" w:styleId="16">
    <w:name w:val="Balloon Text"/>
    <w:basedOn w:val="1"/>
    <w:link w:val="54"/>
    <w:autoRedefine/>
    <w:semiHidden/>
    <w:qFormat/>
    <w:uiPriority w:val="0"/>
    <w:rPr>
      <w:rFonts w:ascii="等线" w:hAnsi="等线" w:eastAsia="等线" w:cs="等线"/>
      <w:kern w:val="2"/>
      <w:sz w:val="18"/>
      <w:szCs w:val="18"/>
      <w:lang w:eastAsia="zh-CN"/>
    </w:rPr>
  </w:style>
  <w:style w:type="paragraph" w:styleId="17">
    <w:name w:val="footer"/>
    <w:basedOn w:val="1"/>
    <w:link w:val="55"/>
    <w:autoRedefine/>
    <w:qFormat/>
    <w:uiPriority w:val="99"/>
    <w:pPr>
      <w:tabs>
        <w:tab w:val="center" w:pos="4153"/>
        <w:tab w:val="right" w:pos="8306"/>
      </w:tabs>
      <w:snapToGrid w:val="0"/>
    </w:pPr>
    <w:rPr>
      <w:sz w:val="18"/>
      <w:szCs w:val="18"/>
    </w:rPr>
  </w:style>
  <w:style w:type="paragraph" w:styleId="18">
    <w:name w:val="header"/>
    <w:basedOn w:val="1"/>
    <w:link w:val="60"/>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pPr>
    <w:rPr>
      <w:rFonts w:ascii="Calibri" w:hAnsi="Calibri" w:cs="Calibri"/>
      <w:b/>
      <w:bCs/>
      <w:caps/>
      <w:sz w:val="20"/>
      <w:szCs w:val="20"/>
    </w:rPr>
  </w:style>
  <w:style w:type="paragraph" w:styleId="20">
    <w:name w:val="toc 4"/>
    <w:basedOn w:val="1"/>
    <w:next w:val="1"/>
    <w:unhideWhenUsed/>
    <w:qFormat/>
    <w:uiPriority w:val="39"/>
    <w:pPr>
      <w:ind w:left="660"/>
    </w:pPr>
    <w:rPr>
      <w:rFonts w:ascii="Calibri" w:hAnsi="Calibri" w:cs="Calibri"/>
      <w:sz w:val="18"/>
      <w:szCs w:val="18"/>
    </w:rPr>
  </w:style>
  <w:style w:type="paragraph" w:styleId="21">
    <w:name w:val="footnote text"/>
    <w:basedOn w:val="1"/>
    <w:link w:val="57"/>
    <w:autoRedefine/>
    <w:semiHidden/>
    <w:qFormat/>
    <w:uiPriority w:val="0"/>
    <w:pPr>
      <w:snapToGrid w:val="0"/>
    </w:pPr>
    <w:rPr>
      <w:rFonts w:ascii="等线" w:hAnsi="等线" w:eastAsia="等线" w:cs="等线"/>
      <w:kern w:val="2"/>
      <w:sz w:val="18"/>
      <w:szCs w:val="18"/>
      <w:lang w:eastAsia="zh-CN"/>
    </w:rPr>
  </w:style>
  <w:style w:type="paragraph" w:styleId="22">
    <w:name w:val="toc 6"/>
    <w:basedOn w:val="1"/>
    <w:next w:val="1"/>
    <w:autoRedefine/>
    <w:unhideWhenUsed/>
    <w:qFormat/>
    <w:uiPriority w:val="39"/>
    <w:pPr>
      <w:ind w:left="1100"/>
    </w:pPr>
    <w:rPr>
      <w:rFonts w:ascii="Calibri" w:hAnsi="Calibri" w:cs="Calibri"/>
      <w:sz w:val="18"/>
      <w:szCs w:val="18"/>
    </w:rPr>
  </w:style>
  <w:style w:type="paragraph" w:styleId="23">
    <w:name w:val="toc 2"/>
    <w:basedOn w:val="1"/>
    <w:next w:val="1"/>
    <w:autoRedefine/>
    <w:unhideWhenUsed/>
    <w:qFormat/>
    <w:uiPriority w:val="39"/>
    <w:pPr>
      <w:ind w:left="220"/>
    </w:pPr>
    <w:rPr>
      <w:rFonts w:ascii="Calibri" w:hAnsi="Calibri" w:cs="Calibri"/>
      <w:smallCaps/>
      <w:sz w:val="20"/>
      <w:szCs w:val="20"/>
    </w:rPr>
  </w:style>
  <w:style w:type="paragraph" w:styleId="24">
    <w:name w:val="toc 9"/>
    <w:basedOn w:val="1"/>
    <w:next w:val="1"/>
    <w:autoRedefine/>
    <w:unhideWhenUsed/>
    <w:qFormat/>
    <w:uiPriority w:val="39"/>
    <w:pPr>
      <w:ind w:left="1760"/>
    </w:pPr>
    <w:rPr>
      <w:rFonts w:ascii="Calibri" w:hAnsi="Calibri" w:cs="Calibri"/>
      <w:sz w:val="18"/>
      <w:szCs w:val="18"/>
    </w:rPr>
  </w:style>
  <w:style w:type="paragraph" w:styleId="25">
    <w:name w:val="Normal (Web)"/>
    <w:basedOn w:val="1"/>
    <w:autoRedefine/>
    <w:qFormat/>
    <w:uiPriority w:val="0"/>
    <w:rPr>
      <w:rFonts w:ascii="等线" w:hAnsi="等线" w:eastAsia="等线" w:cs="等线"/>
      <w:kern w:val="2"/>
      <w:szCs w:val="24"/>
      <w:lang w:eastAsia="zh-CN"/>
    </w:rPr>
  </w:style>
  <w:style w:type="paragraph" w:styleId="26">
    <w:name w:val="annotation subject"/>
    <w:basedOn w:val="10"/>
    <w:next w:val="10"/>
    <w:link w:val="62"/>
    <w:autoRedefine/>
    <w:qFormat/>
    <w:uiPriority w:val="0"/>
    <w:rPr>
      <w:b/>
      <w:bCs/>
    </w:rPr>
  </w:style>
  <w:style w:type="table" w:styleId="28">
    <w:name w:val="Table Grid"/>
    <w:basedOn w:val="27"/>
    <w:autoRedefine/>
    <w:qFormat/>
    <w:uiPriority w:val="39"/>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0"/>
    <w:rPr>
      <w:b/>
    </w:rPr>
  </w:style>
  <w:style w:type="character" w:styleId="31">
    <w:name w:val="page number"/>
    <w:basedOn w:val="29"/>
    <w:autoRedefine/>
    <w:qFormat/>
    <w:uiPriority w:val="0"/>
  </w:style>
  <w:style w:type="character" w:styleId="32">
    <w:name w:val="FollowedHyperlink"/>
    <w:basedOn w:val="29"/>
    <w:semiHidden/>
    <w:unhideWhenUsed/>
    <w:qFormat/>
    <w:uiPriority w:val="0"/>
    <w:rPr>
      <w:color w:val="0000CC"/>
      <w:sz w:val="22"/>
      <w:szCs w:val="22"/>
      <w:u w:val="single"/>
    </w:rPr>
  </w:style>
  <w:style w:type="character" w:styleId="33">
    <w:name w:val="Hyperlink"/>
    <w:qFormat/>
    <w:uiPriority w:val="99"/>
    <w:rPr>
      <w:rFonts w:cs="Times New Roman"/>
      <w:color w:val="0563C1"/>
      <w:u w:val="single"/>
    </w:rPr>
  </w:style>
  <w:style w:type="character" w:styleId="34">
    <w:name w:val="annotation reference"/>
    <w:qFormat/>
    <w:uiPriority w:val="0"/>
    <w:rPr>
      <w:sz w:val="21"/>
      <w:szCs w:val="21"/>
    </w:rPr>
  </w:style>
  <w:style w:type="character" w:customStyle="1" w:styleId="35">
    <w:name w:val="标题 1 字符"/>
    <w:link w:val="2"/>
    <w:autoRedefine/>
    <w:qFormat/>
    <w:locked/>
    <w:uiPriority w:val="0"/>
    <w:rPr>
      <w:rFonts w:ascii="Times New Roman" w:hAnsi="Times New Roman" w:eastAsia="黑体"/>
      <w:sz w:val="32"/>
      <w:szCs w:val="28"/>
      <w:lang w:eastAsia="en-US"/>
    </w:rPr>
  </w:style>
  <w:style w:type="character" w:customStyle="1" w:styleId="36">
    <w:name w:val="标题 2 字符"/>
    <w:link w:val="3"/>
    <w:qFormat/>
    <w:uiPriority w:val="0"/>
    <w:rPr>
      <w:rFonts w:ascii="Times New Roman" w:hAnsi="Times New Roman" w:eastAsia="黑体"/>
      <w:sz w:val="30"/>
      <w:szCs w:val="32"/>
    </w:rPr>
  </w:style>
  <w:style w:type="character" w:customStyle="1" w:styleId="37">
    <w:name w:val="标题 4 字符"/>
    <w:link w:val="5"/>
    <w:qFormat/>
    <w:uiPriority w:val="0"/>
    <w:rPr>
      <w:bCs/>
      <w:sz w:val="24"/>
      <w:szCs w:val="28"/>
      <w:lang w:eastAsia="en-US"/>
    </w:rPr>
  </w:style>
  <w:style w:type="paragraph" w:customStyle="1" w:styleId="38">
    <w:name w:val="报告正文"/>
    <w:basedOn w:val="11"/>
    <w:link w:val="58"/>
    <w:autoRedefine/>
    <w:qFormat/>
    <w:uiPriority w:val="0"/>
    <w:pPr>
      <w:spacing w:line="360" w:lineRule="auto"/>
      <w:ind w:left="0"/>
    </w:pPr>
    <w:rPr>
      <w:rFonts w:ascii="Times New Roman" w:hAnsi="Times New Roman" w:eastAsia="等线"/>
      <w:sz w:val="24"/>
      <w:szCs w:val="24"/>
      <w:lang w:eastAsia="zh-CN"/>
    </w:rPr>
  </w:style>
  <w:style w:type="paragraph" w:customStyle="1" w:styleId="39">
    <w:name w:val="清华标题格式"/>
    <w:basedOn w:val="1"/>
    <w:link w:val="63"/>
    <w:qFormat/>
    <w:uiPriority w:val="0"/>
    <w:pPr>
      <w:keepNext/>
      <w:keepLines/>
      <w:spacing w:line="360" w:lineRule="auto"/>
      <w:outlineLvl w:val="0"/>
    </w:pPr>
    <w:rPr>
      <w:rFonts w:eastAsia="黑体"/>
      <w:b/>
      <w:bCs/>
      <w:kern w:val="44"/>
      <w:sz w:val="32"/>
      <w:szCs w:val="32"/>
      <w:lang w:eastAsia="zh-CN"/>
    </w:rPr>
  </w:style>
  <w:style w:type="paragraph" w:customStyle="1" w:styleId="40">
    <w:name w:val="图表明"/>
    <w:basedOn w:val="1"/>
    <w:next w:val="1"/>
    <w:link w:val="70"/>
    <w:qFormat/>
    <w:uiPriority w:val="0"/>
    <w:pPr>
      <w:spacing w:line="0" w:lineRule="atLeast"/>
      <w:ind w:firstLine="0" w:firstLineChars="0"/>
      <w:jc w:val="center"/>
    </w:pPr>
    <w:rPr>
      <w:rFonts w:eastAsia="黑体"/>
      <w:sz w:val="18"/>
      <w:szCs w:val="21"/>
      <w:lang w:eastAsia="zh-CN"/>
    </w:rPr>
  </w:style>
  <w:style w:type="paragraph" w:customStyle="1" w:styleId="41">
    <w:name w:val="c1"/>
    <w:basedOn w:val="1"/>
    <w:qFormat/>
    <w:uiPriority w:val="0"/>
    <w:pPr>
      <w:spacing w:line="440" w:lineRule="exact"/>
    </w:pPr>
    <w:rPr>
      <w:rFonts w:ascii="宋体" w:hAnsi="宋体"/>
      <w:kern w:val="2"/>
      <w:szCs w:val="24"/>
      <w:lang w:eastAsia="zh-CN"/>
    </w:rPr>
  </w:style>
  <w:style w:type="paragraph" w:customStyle="1" w:styleId="42">
    <w:name w:val="Table Paragraph"/>
    <w:basedOn w:val="1"/>
    <w:autoRedefine/>
    <w:qFormat/>
    <w:uiPriority w:val="1"/>
  </w:style>
  <w:style w:type="paragraph" w:customStyle="1" w:styleId="43">
    <w:name w:val="TOC 标题1"/>
    <w:basedOn w:val="2"/>
    <w:next w:val="1"/>
    <w:qFormat/>
    <w:uiPriority w:val="39"/>
    <w:pPr>
      <w:keepNext/>
      <w:keepLines/>
      <w:widowControl/>
      <w:spacing w:before="480" w:line="276" w:lineRule="auto"/>
      <w:outlineLvl w:val="9"/>
    </w:pPr>
    <w:rPr>
      <w:rFonts w:ascii="Calibri Light" w:hAnsi="Calibri Light" w:eastAsia="宋体"/>
      <w:b/>
      <w:bCs/>
      <w:color w:val="2E74B5"/>
      <w:lang w:eastAsia="zh-CN"/>
    </w:rPr>
  </w:style>
  <w:style w:type="paragraph" w:customStyle="1" w:styleId="44">
    <w:name w:val="段"/>
    <w:link w:val="7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45">
    <w:name w:val="编号正文缩进"/>
    <w:basedOn w:val="1"/>
    <w:qFormat/>
    <w:uiPriority w:val="0"/>
    <w:pPr>
      <w:numPr>
        <w:ilvl w:val="0"/>
        <w:numId w:val="2"/>
      </w:numPr>
    </w:pPr>
    <w:rPr>
      <w:kern w:val="2"/>
      <w:sz w:val="21"/>
      <w:szCs w:val="20"/>
      <w:lang w:eastAsia="zh-CN"/>
    </w:rPr>
  </w:style>
  <w:style w:type="paragraph" w:customStyle="1" w:styleId="46">
    <w:name w:val="List Paragraph1"/>
    <w:basedOn w:val="1"/>
    <w:qFormat/>
    <w:uiPriority w:val="99"/>
    <w:pPr>
      <w:ind w:firstLine="420"/>
    </w:pPr>
  </w:style>
  <w:style w:type="paragraph" w:customStyle="1" w:styleId="47">
    <w:name w:val="列出段落1"/>
    <w:basedOn w:val="1"/>
    <w:qFormat/>
    <w:uiPriority w:val="0"/>
    <w:pPr>
      <w:ind w:firstLine="420"/>
    </w:pPr>
    <w:rPr>
      <w:rFonts w:ascii="等线" w:hAnsi="等线" w:eastAsia="等线" w:cs="等线"/>
      <w:kern w:val="2"/>
      <w:sz w:val="21"/>
      <w:szCs w:val="21"/>
      <w:lang w:eastAsia="zh-CN"/>
    </w:rPr>
  </w:style>
  <w:style w:type="paragraph" w:customStyle="1" w:styleId="48">
    <w:name w:val="_Style 2"/>
    <w:basedOn w:val="1"/>
    <w:autoRedefine/>
    <w:qFormat/>
    <w:uiPriority w:val="34"/>
    <w:pPr>
      <w:ind w:firstLine="420"/>
    </w:pPr>
    <w:rPr>
      <w:szCs w:val="24"/>
    </w:rPr>
  </w:style>
  <w:style w:type="paragraph" w:customStyle="1" w:styleId="49">
    <w:name w:val="TOC Heading1"/>
    <w:basedOn w:val="2"/>
    <w:next w:val="1"/>
    <w:qFormat/>
    <w:uiPriority w:val="0"/>
    <w:pPr>
      <w:keepNext/>
      <w:keepLines/>
      <w:widowControl/>
      <w:spacing w:before="240" w:line="259" w:lineRule="auto"/>
      <w:outlineLvl w:val="9"/>
    </w:pPr>
    <w:rPr>
      <w:rFonts w:ascii="等线 Light" w:hAnsi="等线 Light" w:eastAsia="等线 Light" w:cs="等线 Light"/>
      <w:color w:val="2F5496"/>
      <w:sz w:val="32"/>
      <w:szCs w:val="32"/>
      <w:lang w:eastAsia="zh-CN"/>
    </w:rPr>
  </w:style>
  <w:style w:type="paragraph" w:customStyle="1" w:styleId="50">
    <w:name w:val="列出段落11"/>
    <w:basedOn w:val="1"/>
    <w:qFormat/>
    <w:uiPriority w:val="1"/>
    <w:rPr>
      <w:rFonts w:eastAsia="Calibri"/>
    </w:rPr>
  </w:style>
  <w:style w:type="paragraph" w:customStyle="1" w:styleId="51">
    <w:name w:val="表格"/>
    <w:basedOn w:val="1"/>
    <w:link w:val="71"/>
    <w:autoRedefine/>
    <w:qFormat/>
    <w:uiPriority w:val="0"/>
    <w:pPr>
      <w:ind w:firstLine="0" w:firstLineChars="0"/>
      <w:jc w:val="center"/>
    </w:pPr>
    <w:rPr>
      <w:rFonts w:eastAsia="黑体"/>
      <w:sz w:val="21"/>
      <w:lang w:eastAsia="zh-CN"/>
    </w:rPr>
  </w:style>
  <w:style w:type="paragraph" w:customStyle="1" w:styleId="52">
    <w:name w:val="图片"/>
    <w:basedOn w:val="1"/>
    <w:link w:val="72"/>
    <w:qFormat/>
    <w:uiPriority w:val="0"/>
    <w:pPr>
      <w:spacing w:line="240" w:lineRule="atLeast"/>
      <w:ind w:firstLine="0" w:firstLineChars="0"/>
      <w:jc w:val="center"/>
    </w:pPr>
    <w:rPr>
      <w:lang w:eastAsia="zh-CN"/>
    </w:rPr>
  </w:style>
  <w:style w:type="character" w:customStyle="1" w:styleId="53">
    <w:name w:val="font11"/>
    <w:qFormat/>
    <w:uiPriority w:val="0"/>
    <w:rPr>
      <w:rFonts w:ascii="宋体" w:hAnsi="宋体" w:eastAsia="宋体" w:cs="宋体"/>
      <w:color w:val="000000"/>
      <w:sz w:val="20"/>
      <w:szCs w:val="20"/>
      <w:u w:val="none"/>
    </w:rPr>
  </w:style>
  <w:style w:type="character" w:customStyle="1" w:styleId="54">
    <w:name w:val="批注框文本 字符"/>
    <w:link w:val="16"/>
    <w:semiHidden/>
    <w:qFormat/>
    <w:locked/>
    <w:uiPriority w:val="0"/>
    <w:rPr>
      <w:rFonts w:ascii="等线" w:hAnsi="等线" w:eastAsia="等线" w:cs="等线"/>
      <w:kern w:val="2"/>
      <w:sz w:val="18"/>
      <w:szCs w:val="18"/>
      <w:lang w:val="en-US" w:eastAsia="zh-CN" w:bidi="ar-SA"/>
    </w:rPr>
  </w:style>
  <w:style w:type="character" w:customStyle="1" w:styleId="55">
    <w:name w:val="页脚 字符"/>
    <w:link w:val="17"/>
    <w:autoRedefine/>
    <w:qFormat/>
    <w:uiPriority w:val="99"/>
    <w:rPr>
      <w:rFonts w:ascii="Calibri" w:hAnsi="Calibri"/>
      <w:sz w:val="18"/>
      <w:szCs w:val="18"/>
      <w:lang w:eastAsia="en-US"/>
    </w:rPr>
  </w:style>
  <w:style w:type="character" w:customStyle="1" w:styleId="56">
    <w:name w:val="样式 黑体 小四"/>
    <w:qFormat/>
    <w:uiPriority w:val="0"/>
    <w:rPr>
      <w:rFonts w:ascii="黑体" w:eastAsia="黑体"/>
      <w:sz w:val="24"/>
    </w:rPr>
  </w:style>
  <w:style w:type="character" w:customStyle="1" w:styleId="57">
    <w:name w:val="脚注文本 字符"/>
    <w:link w:val="21"/>
    <w:semiHidden/>
    <w:qFormat/>
    <w:locked/>
    <w:uiPriority w:val="0"/>
    <w:rPr>
      <w:rFonts w:ascii="等线" w:hAnsi="等线" w:eastAsia="等线" w:cs="等线"/>
      <w:kern w:val="2"/>
      <w:sz w:val="18"/>
      <w:szCs w:val="18"/>
      <w:lang w:val="en-US" w:eastAsia="zh-CN" w:bidi="ar-SA"/>
    </w:rPr>
  </w:style>
  <w:style w:type="character" w:customStyle="1" w:styleId="58">
    <w:name w:val="报告正文 Char"/>
    <w:link w:val="38"/>
    <w:autoRedefine/>
    <w:qFormat/>
    <w:locked/>
    <w:uiPriority w:val="0"/>
    <w:rPr>
      <w:rFonts w:eastAsia="等线"/>
      <w:sz w:val="24"/>
      <w:szCs w:val="24"/>
      <w:lang w:val="en-US" w:eastAsia="zh-CN" w:bidi="ar-SA"/>
    </w:rPr>
  </w:style>
  <w:style w:type="character" w:customStyle="1" w:styleId="59">
    <w:name w:val="批注文字 字符"/>
    <w:link w:val="10"/>
    <w:qFormat/>
    <w:uiPriority w:val="0"/>
    <w:rPr>
      <w:rFonts w:ascii="Calibri" w:hAnsi="Calibri"/>
      <w:sz w:val="22"/>
      <w:szCs w:val="22"/>
      <w:lang w:eastAsia="en-US"/>
    </w:rPr>
  </w:style>
  <w:style w:type="character" w:customStyle="1" w:styleId="60">
    <w:name w:val="页眉 字符"/>
    <w:link w:val="18"/>
    <w:autoRedefine/>
    <w:qFormat/>
    <w:uiPriority w:val="99"/>
    <w:rPr>
      <w:rFonts w:ascii="Calibri" w:hAnsi="Calibri"/>
      <w:sz w:val="18"/>
      <w:szCs w:val="18"/>
      <w:lang w:eastAsia="en-US"/>
    </w:rPr>
  </w:style>
  <w:style w:type="character" w:customStyle="1" w:styleId="61">
    <w:name w:val="Footer Char"/>
    <w:autoRedefine/>
    <w:qFormat/>
    <w:locked/>
    <w:uiPriority w:val="0"/>
    <w:rPr>
      <w:rFonts w:ascii="等线" w:hAnsi="等线" w:eastAsia="等线" w:cs="等线"/>
      <w:kern w:val="2"/>
      <w:sz w:val="18"/>
      <w:szCs w:val="18"/>
      <w:lang w:val="en-US" w:eastAsia="zh-CN" w:bidi="ar-SA"/>
    </w:rPr>
  </w:style>
  <w:style w:type="character" w:customStyle="1" w:styleId="62">
    <w:name w:val="批注主题 字符"/>
    <w:link w:val="26"/>
    <w:autoRedefine/>
    <w:qFormat/>
    <w:uiPriority w:val="0"/>
    <w:rPr>
      <w:rFonts w:ascii="Calibri" w:hAnsi="Calibri"/>
      <w:b/>
      <w:bCs/>
      <w:sz w:val="22"/>
      <w:szCs w:val="22"/>
      <w:lang w:eastAsia="en-US"/>
    </w:rPr>
  </w:style>
  <w:style w:type="character" w:customStyle="1" w:styleId="63">
    <w:name w:val="清华标题格式 Char"/>
    <w:link w:val="39"/>
    <w:autoRedefine/>
    <w:qFormat/>
    <w:locked/>
    <w:uiPriority w:val="0"/>
    <w:rPr>
      <w:rFonts w:eastAsia="黑体"/>
      <w:b/>
      <w:bCs/>
      <w:kern w:val="44"/>
      <w:sz w:val="32"/>
      <w:szCs w:val="32"/>
      <w:lang w:val="en-US" w:eastAsia="zh-CN" w:bidi="ar-SA"/>
    </w:rPr>
  </w:style>
  <w:style w:type="character" w:customStyle="1" w:styleId="64">
    <w:name w:val="页脚 字符1"/>
    <w:autoRedefine/>
    <w:qFormat/>
    <w:uiPriority w:val="99"/>
    <w:rPr>
      <w:sz w:val="18"/>
      <w:szCs w:val="18"/>
    </w:rPr>
  </w:style>
  <w:style w:type="character" w:customStyle="1" w:styleId="65">
    <w:name w:val="Header Char"/>
    <w:autoRedefine/>
    <w:qFormat/>
    <w:locked/>
    <w:uiPriority w:val="0"/>
    <w:rPr>
      <w:rFonts w:ascii="等线" w:hAnsi="等线" w:eastAsia="等线" w:cs="等线"/>
      <w:kern w:val="2"/>
      <w:sz w:val="18"/>
      <w:szCs w:val="18"/>
      <w:lang w:val="en-US" w:eastAsia="zh-CN" w:bidi="ar-SA"/>
    </w:rPr>
  </w:style>
  <w:style w:type="character" w:customStyle="1" w:styleId="66">
    <w:name w:val="font01"/>
    <w:autoRedefine/>
    <w:qFormat/>
    <w:uiPriority w:val="0"/>
    <w:rPr>
      <w:rFonts w:ascii="Arial" w:hAnsi="Arial" w:cs="Arial"/>
      <w:color w:val="000000"/>
      <w:sz w:val="20"/>
      <w:szCs w:val="20"/>
      <w:u w:val="none"/>
    </w:rPr>
  </w:style>
  <w:style w:type="character" w:customStyle="1" w:styleId="67">
    <w:name w:val="正文文本 字符"/>
    <w:link w:val="11"/>
    <w:autoRedefine/>
    <w:semiHidden/>
    <w:qFormat/>
    <w:locked/>
    <w:uiPriority w:val="0"/>
    <w:rPr>
      <w:rFonts w:ascii="宋体" w:hAnsi="宋体" w:eastAsia="宋体"/>
      <w:sz w:val="21"/>
      <w:szCs w:val="21"/>
      <w:lang w:val="en-US" w:eastAsia="en-US" w:bidi="ar-SA"/>
    </w:rPr>
  </w:style>
  <w:style w:type="character" w:customStyle="1" w:styleId="68">
    <w:name w:val="批注文字 字符2"/>
    <w:basedOn w:val="29"/>
    <w:autoRedefine/>
    <w:qFormat/>
    <w:uiPriority w:val="0"/>
  </w:style>
  <w:style w:type="character" w:customStyle="1" w:styleId="69">
    <w:name w:val="日期 字符"/>
    <w:link w:val="15"/>
    <w:autoRedefine/>
    <w:qFormat/>
    <w:uiPriority w:val="0"/>
    <w:rPr>
      <w:rFonts w:ascii="Calibri" w:hAnsi="Calibri"/>
      <w:sz w:val="22"/>
      <w:szCs w:val="22"/>
      <w:lang w:eastAsia="en-US"/>
    </w:rPr>
  </w:style>
  <w:style w:type="character" w:customStyle="1" w:styleId="70">
    <w:name w:val="图表明 Char"/>
    <w:link w:val="40"/>
    <w:autoRedefine/>
    <w:qFormat/>
    <w:locked/>
    <w:uiPriority w:val="0"/>
    <w:rPr>
      <w:rFonts w:eastAsia="黑体"/>
      <w:sz w:val="18"/>
      <w:szCs w:val="21"/>
    </w:rPr>
  </w:style>
  <w:style w:type="character" w:customStyle="1" w:styleId="71">
    <w:name w:val="表格 字符"/>
    <w:link w:val="51"/>
    <w:autoRedefine/>
    <w:qFormat/>
    <w:uiPriority w:val="0"/>
    <w:rPr>
      <w:rFonts w:eastAsia="黑体"/>
      <w:sz w:val="21"/>
      <w:szCs w:val="22"/>
    </w:rPr>
  </w:style>
  <w:style w:type="character" w:customStyle="1" w:styleId="72">
    <w:name w:val="图片 字符"/>
    <w:link w:val="52"/>
    <w:autoRedefine/>
    <w:qFormat/>
    <w:uiPriority w:val="0"/>
    <w:rPr>
      <w:sz w:val="24"/>
      <w:szCs w:val="22"/>
      <w:lang w:val="en-US" w:eastAsia="zh-CN"/>
    </w:rPr>
  </w:style>
  <w:style w:type="character" w:customStyle="1" w:styleId="73">
    <w:name w:val="段 Char"/>
    <w:link w:val="44"/>
    <w:autoRedefine/>
    <w:qFormat/>
    <w:uiPriority w:val="0"/>
    <w:rPr>
      <w:rFonts w:ascii="宋体"/>
      <w:sz w:val="21"/>
      <w:szCs w:val="22"/>
    </w:rPr>
  </w:style>
  <w:style w:type="table" w:customStyle="1" w:styleId="74">
    <w:name w:val="网格型1"/>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2"/>
    <w:basedOn w:val="2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 Normal"/>
    <w:autoRedefine/>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77">
    <w:name w:val="一级条标题"/>
    <w:next w:val="44"/>
    <w:autoRedefine/>
    <w:qFormat/>
    <w:uiPriority w:val="99"/>
    <w:pPr>
      <w:numPr>
        <w:ilvl w:val="1"/>
        <w:numId w:val="3"/>
      </w:numPr>
      <w:spacing w:beforeLines="50" w:afterLines="50"/>
      <w:ind w:left="568"/>
      <w:outlineLvl w:val="2"/>
    </w:pPr>
    <w:rPr>
      <w:rFonts w:ascii="黑体" w:hAnsi="Times New Roman" w:eastAsia="黑体" w:cs="Times New Roman"/>
      <w:sz w:val="21"/>
      <w:szCs w:val="21"/>
      <w:lang w:val="en-US" w:eastAsia="zh-CN" w:bidi="ar-SA"/>
    </w:rPr>
  </w:style>
  <w:style w:type="character" w:customStyle="1" w:styleId="78">
    <w:name w:val="章标题 Char"/>
    <w:link w:val="79"/>
    <w:autoRedefine/>
    <w:qFormat/>
    <w:locked/>
    <w:uiPriority w:val="99"/>
    <w:rPr>
      <w:rFonts w:ascii="黑体" w:hAnsi="黑体" w:eastAsia="黑体"/>
      <w:sz w:val="21"/>
    </w:rPr>
  </w:style>
  <w:style w:type="paragraph" w:customStyle="1" w:styleId="79">
    <w:name w:val="章标题"/>
    <w:next w:val="44"/>
    <w:link w:val="78"/>
    <w:autoRedefine/>
    <w:qFormat/>
    <w:uiPriority w:val="99"/>
    <w:pPr>
      <w:numPr>
        <w:ilvl w:val="0"/>
        <w:numId w:val="3"/>
      </w:numPr>
      <w:spacing w:beforeLines="100" w:afterLines="100"/>
      <w:jc w:val="both"/>
      <w:outlineLvl w:val="1"/>
    </w:pPr>
    <w:rPr>
      <w:rFonts w:ascii="黑体" w:hAnsi="黑体" w:eastAsia="黑体" w:cs="Times New Roman"/>
      <w:sz w:val="21"/>
      <w:lang w:val="en-US" w:eastAsia="zh-CN" w:bidi="ar-SA"/>
    </w:rPr>
  </w:style>
  <w:style w:type="paragraph" w:customStyle="1" w:styleId="80">
    <w:name w:val="二级条标题"/>
    <w:basedOn w:val="77"/>
    <w:next w:val="44"/>
    <w:autoRedefine/>
    <w:qFormat/>
    <w:uiPriority w:val="99"/>
    <w:pPr>
      <w:numPr>
        <w:ilvl w:val="2"/>
      </w:numPr>
      <w:ind w:left="2552"/>
      <w:outlineLvl w:val="3"/>
    </w:pPr>
  </w:style>
  <w:style w:type="paragraph" w:customStyle="1" w:styleId="81">
    <w:name w:val="四级条标题"/>
    <w:basedOn w:val="1"/>
    <w:next w:val="44"/>
    <w:autoRedefine/>
    <w:qFormat/>
    <w:uiPriority w:val="99"/>
    <w:pPr>
      <w:widowControl/>
      <w:numPr>
        <w:ilvl w:val="4"/>
        <w:numId w:val="3"/>
      </w:numPr>
      <w:spacing w:beforeLines="50" w:afterLines="50" w:line="240" w:lineRule="auto"/>
      <w:ind w:firstLineChars="0"/>
      <w:jc w:val="left"/>
      <w:outlineLvl w:val="5"/>
    </w:pPr>
    <w:rPr>
      <w:rFonts w:ascii="黑体" w:eastAsia="黑体"/>
      <w:sz w:val="21"/>
      <w:szCs w:val="21"/>
      <w:lang w:eastAsia="zh-CN"/>
    </w:rPr>
  </w:style>
  <w:style w:type="paragraph" w:customStyle="1" w:styleId="82">
    <w:name w:val="五级条标题"/>
    <w:basedOn w:val="81"/>
    <w:next w:val="44"/>
    <w:autoRedefine/>
    <w:qFormat/>
    <w:uiPriority w:val="99"/>
    <w:pPr>
      <w:numPr>
        <w:ilvl w:val="5"/>
      </w:numPr>
      <w:outlineLvl w:val="6"/>
    </w:pPr>
  </w:style>
  <w:style w:type="paragraph" w:customStyle="1" w:styleId="83">
    <w:name w:val="正文表标题"/>
    <w:next w:val="44"/>
    <w:autoRedefine/>
    <w:qFormat/>
    <w:uiPriority w:val="99"/>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84">
    <w:name w:val="正文000"/>
    <w:basedOn w:val="1"/>
    <w:autoRedefine/>
    <w:qFormat/>
    <w:uiPriority w:val="0"/>
    <w:pPr>
      <w:widowControl/>
      <w:spacing w:line="360" w:lineRule="auto"/>
      <w:ind w:firstLine="480"/>
      <w:jc w:val="left"/>
    </w:pPr>
    <w:rPr>
      <w:rFonts w:ascii="等线" w:hAnsi="等线" w:eastAsia="等线" w:cs="宋体"/>
      <w:szCs w:val="20"/>
      <w:lang w:bidi="en-US"/>
    </w:rPr>
  </w:style>
  <w:style w:type="paragraph" w:customStyle="1" w:styleId="85">
    <w:name w:val="style2"/>
    <w:basedOn w:val="1"/>
    <w:autoRedefine/>
    <w:qFormat/>
    <w:uiPriority w:val="0"/>
    <w:pPr>
      <w:jc w:val="left"/>
    </w:pPr>
    <w:rPr>
      <w:b/>
      <w:sz w:val="36"/>
      <w:szCs w:val="36"/>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43A8-4F87-4ACE-B55C-98A2A423CAC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9756</Words>
  <Characters>10201</Characters>
  <Lines>173</Lines>
  <Paragraphs>48</Paragraphs>
  <TotalTime>0</TotalTime>
  <ScaleCrop>false</ScaleCrop>
  <LinksUpToDate>false</LinksUpToDate>
  <CharactersWithSpaces>10270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2020-11-09T08:15:00Z</dcterms:created>
  <dc:creator>微软用户</dc:creator>
  <cp:lastModifiedBy>陈星曈</cp:lastModifiedBy>
  <cp:lastPrinted>2021-06-07T06:41:00Z</cp:lastPrinted>
  <dcterms:modified xsi:type="dcterms:W3CDTF">2025-07-23T07:24:33Z</dcterms:modified>
  <dc:title>6</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954229E167AD48B1842592F2809A0228_13</vt:lpwstr>
  </property>
  <property fmtid="{D5CDD505-2E9C-101B-9397-08002B2CF9AE}" pid="4" name="KSOTemplateDocerSaveRecord">
    <vt:lpwstr>eyJoZGlkIjoiNzhiMjFhNjIyYzE0ZWNjMWI5NjJlODEyYTM4NmRiY2EiLCJ1c2VySWQiOiIxMjEzNjU0MDg4In0=</vt:lpwstr>
  </property>
</Properties>
</file>